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2B2BFF">
      <w:pPr>
        <w:pStyle w:val="papertitle"/>
        <w:rPr>
          <w:b/>
          <w:sz w:val="28"/>
          <w:szCs w:val="28"/>
        </w:rPr>
      </w:pPr>
      <w:r>
        <w:rPr>
          <w:b/>
          <w:sz w:val="28"/>
          <w:szCs w:val="28"/>
        </w:rPr>
        <w:t xml:space="preserve">Web Services </w:t>
      </w:r>
      <w:r w:rsidR="004A7D09">
        <w:rPr>
          <w:b/>
          <w:sz w:val="28"/>
          <w:szCs w:val="28"/>
        </w:rPr>
        <w:t xml:space="preserve">for Building and Executing </w:t>
      </w:r>
      <w:r w:rsidR="00A04082">
        <w:rPr>
          <w:b/>
          <w:sz w:val="28"/>
          <w:szCs w:val="28"/>
        </w:rPr>
        <w:t xml:space="preserve">Biosequence Analysis </w:t>
      </w:r>
      <w:r w:rsidR="004A7D09">
        <w:rPr>
          <w:b/>
          <w:sz w:val="28"/>
          <w:szCs w:val="28"/>
        </w:rPr>
        <w:t>Pipelines</w:t>
      </w:r>
    </w:p>
    <w:p w:rsidR="00AF4B86" w:rsidRDefault="00AF4B86" w:rsidP="00AF4B86">
      <w:pPr>
        <w:pStyle w:val="Author"/>
      </w:pPr>
      <w:r>
        <w:t>Adam Hughes</w:t>
      </w:r>
      <w:r w:rsidR="00620743" w:rsidRPr="00620743">
        <w:rPr>
          <w:vertAlign w:val="superscript"/>
        </w:rPr>
        <w:t>*</w:t>
      </w:r>
      <w:r>
        <w:t>, Saliya Ekanayake</w:t>
      </w:r>
      <w:r w:rsidR="00620743" w:rsidRPr="00620743">
        <w:rPr>
          <w:vertAlign w:val="superscript"/>
        </w:rPr>
        <w:t>*†</w:t>
      </w:r>
      <w:r>
        <w:t>, Judy Qiu</w:t>
      </w:r>
      <w:r w:rsidR="00620743" w:rsidRPr="00620743">
        <w:rPr>
          <w:vertAlign w:val="superscript"/>
        </w:rPr>
        <w:t>*†</w:t>
      </w:r>
      <w:r>
        <w:t>, and Geoffrey Fox</w:t>
      </w:r>
      <w:r w:rsidR="00620743" w:rsidRPr="00620743">
        <w:rPr>
          <w:vertAlign w:val="superscript"/>
        </w:rPr>
        <w:t>*†</w:t>
      </w:r>
    </w:p>
    <w:p w:rsidR="00AF4B86" w:rsidRDefault="00620743" w:rsidP="00AF4B86">
      <w:pPr>
        <w:pStyle w:val="Affiliation"/>
      </w:pPr>
      <w:r w:rsidRPr="00620743">
        <w:rPr>
          <w:vertAlign w:val="superscript"/>
        </w:rPr>
        <w:t>*</w:t>
      </w:r>
      <w:r w:rsidR="00AF4B86">
        <w:t>Pervasive Technology Institute</w:t>
      </w:r>
    </w:p>
    <w:p w:rsidR="00AF4B86" w:rsidRPr="005B520E" w:rsidRDefault="00620743" w:rsidP="00AF4B86">
      <w:pPr>
        <w:pStyle w:val="Affiliation"/>
      </w:pPr>
      <w:r w:rsidRPr="00620743">
        <w:rPr>
          <w:vertAlign w:val="superscript"/>
        </w:rPr>
        <w:t>†</w:t>
      </w:r>
      <w:r w:rsidR="00AF4B86">
        <w:t>School of Informatics and Computing</w:t>
      </w:r>
    </w:p>
    <w:p w:rsidR="00AF4B86" w:rsidRPr="005B520E" w:rsidRDefault="00AF4B86" w:rsidP="00AF4B86">
      <w:pPr>
        <w:pStyle w:val="Affiliation"/>
      </w:pPr>
      <w:r>
        <w:t>Indiana University, Bloomington IN, USA</w:t>
      </w:r>
    </w:p>
    <w:p w:rsidR="00AF4B86" w:rsidRPr="005B520E" w:rsidRDefault="00AF4B86" w:rsidP="00AF4B86">
      <w:pPr>
        <w:pStyle w:val="Affiliation"/>
      </w:pPr>
      <w:r>
        <w:t>{adalhugh, sekanaya, xqiu, gcf@indiana.edu}</w:t>
      </w:r>
    </w:p>
    <w:p w:rsidR="009303D9" w:rsidRPr="00037477" w:rsidRDefault="009303D9">
      <w:pPr>
        <w:pStyle w:val="papersubtitle"/>
        <w:rPr>
          <w:sz w:val="24"/>
          <w:szCs w:val="24"/>
        </w:rPr>
      </w:pPr>
    </w:p>
    <w:p w:rsidR="009303D9" w:rsidRPr="005B520E" w:rsidRDefault="009303D9"/>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pStyle w:val="Affiliation"/>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1E3999" w:rsidRDefault="009303D9" w:rsidP="00BD29FC">
      <w:pPr>
        <w:pStyle w:val="Abstract"/>
      </w:pPr>
      <w:r>
        <w:rPr>
          <w:i/>
          <w:iCs/>
        </w:rPr>
        <w:lastRenderedPageBreak/>
        <w:t>Abstract</w:t>
      </w:r>
      <w:r>
        <w:t>—</w:t>
      </w:r>
      <w:r w:rsidR="00BD29FC" w:rsidRPr="00BD29FC">
        <w:t xml:space="preserve"> </w:t>
      </w:r>
      <w:r w:rsidR="003C5102">
        <w:t xml:space="preserve">The advent and continued refinement of modern high-throughput sequencing techniques have led to a proliferation of raw biosequence data, as labs routinely generate millions of sequence reads in a matter of days.    </w:t>
      </w:r>
      <w:r w:rsidR="00AB27FF">
        <w:t>Analyzing these results is beyond the computational capacity of single-lab resources, necessitating the use of high-performance compu</w:t>
      </w:r>
      <w:r w:rsidR="00197CC1">
        <w:t xml:space="preserve">ting resources, which presents </w:t>
      </w:r>
      <w:r w:rsidR="00AB27FF">
        <w:t xml:space="preserve">significant overhead in terms of manual data manipulation and job monitoring.  To overcome this bottleneck, </w:t>
      </w:r>
      <w:r w:rsidR="001E3999">
        <w:t xml:space="preserve">application pipelines are being developed in conjunction with a generalized service-based portal system to abstract the details of job creation and </w:t>
      </w:r>
      <w:r w:rsidR="00197CC1">
        <w:t>management</w:t>
      </w:r>
      <w:r w:rsidR="00FA413F">
        <w:t>.  This infrastructure will eventually provide service interfaces to map-reduce technologies, leveraging the</w:t>
      </w:r>
      <w:r w:rsidR="007D5194">
        <w:t xml:space="preserve"> computing resources offered by traditional grids and clusters, as well as emerging Cloud platforms. </w:t>
      </w:r>
    </w:p>
    <w:p w:rsidR="009303D9" w:rsidRDefault="00BD29FC" w:rsidP="00BD29FC">
      <w:pPr>
        <w:pStyle w:val="Abstract"/>
      </w:pPr>
      <w:r w:rsidRPr="0043115E">
        <w:t>This paper</w:t>
      </w:r>
      <w:r w:rsidR="0048309B">
        <w:t xml:space="preserve"> and the accompanying live demonstration first briefly detail </w:t>
      </w:r>
      <w:r w:rsidRPr="0043115E">
        <w:t>the</w:t>
      </w:r>
      <w:r w:rsidR="0048309B">
        <w:t xml:space="preserve"> design and implementation of a </w:t>
      </w:r>
      <w:r w:rsidRPr="0043115E">
        <w:t>software package to automate the setup steps for a specific sequence analysis workflow</w:t>
      </w:r>
      <w:r w:rsidR="0048309B">
        <w:t xml:space="preserve"> and a</w:t>
      </w:r>
      <w:r w:rsidR="00A172DE">
        <w:t xml:space="preserve"> </w:t>
      </w:r>
      <w:r w:rsidRPr="0043115E">
        <w:t>generalized service</w:t>
      </w:r>
      <w:r w:rsidR="009E6BDF">
        <w:t>-</w:t>
      </w:r>
      <w:r w:rsidRPr="0043115E">
        <w:t>oriented architecture</w:t>
      </w:r>
      <w:r w:rsidR="002302D8">
        <w:t xml:space="preserve"> (SOA)</w:t>
      </w:r>
      <w:r w:rsidRPr="0043115E">
        <w:t xml:space="preserve"> to </w:t>
      </w:r>
      <w:r w:rsidR="0048309B">
        <w:t>expose this pipeline and other analysis tools as web services.</w:t>
      </w:r>
      <w:r w:rsidR="00215AE5">
        <w:t xml:space="preserve">  Then, a simple web interface for submitting and managing jobs on high-performance computing platforms is presented as an example of the flexibility in building applications afforded by web service composition.</w:t>
      </w:r>
    </w:p>
    <w:p w:rsidR="009303D9" w:rsidRDefault="009303D9" w:rsidP="005B520E">
      <w:pPr>
        <w:pStyle w:val="keywords"/>
      </w:pPr>
      <w:r>
        <w:t>Keywords-</w:t>
      </w:r>
      <w:r w:rsidR="00563862">
        <w:t>biosequence</w:t>
      </w:r>
      <w:r>
        <w:t>;</w:t>
      </w:r>
      <w:r w:rsidR="00563862">
        <w:t xml:space="preserve"> bioinformatics</w:t>
      </w:r>
      <w:r>
        <w:t xml:space="preserve">; </w:t>
      </w:r>
      <w:r w:rsidR="00563862">
        <w:t>SOA</w:t>
      </w:r>
      <w:r>
        <w:t xml:space="preserve">; </w:t>
      </w:r>
      <w:r w:rsidR="005D2D0F">
        <w:t>service-oriented architecture</w:t>
      </w:r>
    </w:p>
    <w:p w:rsidR="009303D9" w:rsidRDefault="009303D9" w:rsidP="005B520E">
      <w:pPr>
        <w:pStyle w:val="Heading1"/>
      </w:pPr>
      <w:r>
        <w:t xml:space="preserve"> </w:t>
      </w:r>
      <w:r w:rsidRPr="005B520E">
        <w:t>Introduction</w:t>
      </w:r>
      <w:r>
        <w:t xml:space="preserve"> </w:t>
      </w:r>
    </w:p>
    <w:p w:rsidR="00AB27FF" w:rsidRDefault="003C5102" w:rsidP="003C5102">
      <w:pPr>
        <w:pStyle w:val="Abstract"/>
        <w:rPr>
          <w:b w:val="0"/>
          <w:sz w:val="20"/>
          <w:szCs w:val="20"/>
        </w:rPr>
      </w:pPr>
      <w:r w:rsidRPr="003C5102">
        <w:rPr>
          <w:b w:val="0"/>
          <w:sz w:val="20"/>
          <w:szCs w:val="20"/>
        </w:rPr>
        <w:t xml:space="preserve">Genome research projects generate large quantities of data in the form of biosequence reads, each consisting of several hundred base pairs.  In order to derive useful information from these data, scientists employ many software tools to search generated biosequences against existing databases, to visualize these search results, and to create and manage biosequence annotations.  The sheer size of the experimental data, which </w:t>
      </w:r>
      <w:r>
        <w:rPr>
          <w:b w:val="0"/>
          <w:sz w:val="20"/>
          <w:szCs w:val="20"/>
        </w:rPr>
        <w:t>may</w:t>
      </w:r>
      <w:r w:rsidRPr="003C5102">
        <w:rPr>
          <w:b w:val="0"/>
          <w:sz w:val="20"/>
          <w:szCs w:val="20"/>
        </w:rPr>
        <w:t xml:space="preserve"> consist of hundreds of millions of sequence reads </w:t>
      </w:r>
      <w:r>
        <w:rPr>
          <w:b w:val="0"/>
          <w:sz w:val="20"/>
          <w:szCs w:val="20"/>
        </w:rPr>
        <w:t xml:space="preserve">generated </w:t>
      </w:r>
      <w:r w:rsidRPr="003C5102">
        <w:rPr>
          <w:b w:val="0"/>
          <w:sz w:val="20"/>
          <w:szCs w:val="20"/>
        </w:rPr>
        <w:t>from a single run</w:t>
      </w:r>
      <w:r w:rsidR="006700BD">
        <w:rPr>
          <w:b w:val="0"/>
          <w:sz w:val="20"/>
          <w:szCs w:val="20"/>
        </w:rPr>
        <w:t xml:space="preserve"> (as discussed in [1] and [2])</w:t>
      </w:r>
      <w:r w:rsidRPr="003C5102">
        <w:rPr>
          <w:b w:val="0"/>
          <w:sz w:val="20"/>
          <w:szCs w:val="20"/>
        </w:rPr>
        <w:t xml:space="preserve">, </w:t>
      </w:r>
      <w:r>
        <w:rPr>
          <w:b w:val="0"/>
          <w:sz w:val="20"/>
          <w:szCs w:val="20"/>
        </w:rPr>
        <w:t xml:space="preserve">renders the computational resources of single labs inadequate for completing such analyses in a timely fashion.  Consequently, the use </w:t>
      </w:r>
      <w:r w:rsidRPr="003C5102">
        <w:rPr>
          <w:b w:val="0"/>
          <w:sz w:val="20"/>
          <w:szCs w:val="20"/>
        </w:rPr>
        <w:t xml:space="preserve">high-performance computing </w:t>
      </w:r>
      <w:r>
        <w:rPr>
          <w:b w:val="0"/>
          <w:sz w:val="20"/>
          <w:szCs w:val="20"/>
        </w:rPr>
        <w:t>resources</w:t>
      </w:r>
      <w:r w:rsidR="00F80A9B">
        <w:rPr>
          <w:b w:val="0"/>
          <w:sz w:val="20"/>
          <w:szCs w:val="20"/>
        </w:rPr>
        <w:t xml:space="preserve"> </w:t>
      </w:r>
      <w:r>
        <w:rPr>
          <w:b w:val="0"/>
          <w:sz w:val="20"/>
          <w:szCs w:val="20"/>
        </w:rPr>
        <w:t xml:space="preserve">is generally required to make progress against the avalanche of </w:t>
      </w:r>
      <w:r w:rsidR="00711CE8">
        <w:rPr>
          <w:b w:val="0"/>
          <w:sz w:val="20"/>
          <w:szCs w:val="20"/>
        </w:rPr>
        <w:t>sequencing results</w:t>
      </w:r>
      <w:r>
        <w:rPr>
          <w:b w:val="0"/>
          <w:sz w:val="20"/>
          <w:szCs w:val="20"/>
        </w:rPr>
        <w:t xml:space="preserve"> facing genomic researcher</w:t>
      </w:r>
      <w:r w:rsidR="00711CE8">
        <w:rPr>
          <w:b w:val="0"/>
          <w:sz w:val="20"/>
          <w:szCs w:val="20"/>
        </w:rPr>
        <w:t>s</w:t>
      </w:r>
      <w:r>
        <w:rPr>
          <w:b w:val="0"/>
          <w:sz w:val="20"/>
          <w:szCs w:val="20"/>
        </w:rPr>
        <w:t>.  C</w:t>
      </w:r>
      <w:r w:rsidRPr="003C5102">
        <w:rPr>
          <w:b w:val="0"/>
          <w:sz w:val="20"/>
          <w:szCs w:val="20"/>
        </w:rPr>
        <w:t>reating and managing the</w:t>
      </w:r>
      <w:r>
        <w:rPr>
          <w:b w:val="0"/>
          <w:sz w:val="20"/>
          <w:szCs w:val="20"/>
        </w:rPr>
        <w:t xml:space="preserve"> computational</w:t>
      </w:r>
      <w:r w:rsidRPr="003C5102">
        <w:rPr>
          <w:b w:val="0"/>
          <w:sz w:val="20"/>
          <w:szCs w:val="20"/>
        </w:rPr>
        <w:t xml:space="preserve"> jobs necessary </w:t>
      </w:r>
      <w:r w:rsidR="000F011A">
        <w:rPr>
          <w:b w:val="0"/>
          <w:sz w:val="20"/>
          <w:szCs w:val="20"/>
        </w:rPr>
        <w:t xml:space="preserve">to </w:t>
      </w:r>
      <w:r w:rsidR="000F011A">
        <w:rPr>
          <w:b w:val="0"/>
          <w:sz w:val="20"/>
          <w:szCs w:val="20"/>
        </w:rPr>
        <w:lastRenderedPageBreak/>
        <w:t>carry out these analyse</w:t>
      </w:r>
      <w:r>
        <w:rPr>
          <w:b w:val="0"/>
          <w:sz w:val="20"/>
          <w:szCs w:val="20"/>
        </w:rPr>
        <w:t>s</w:t>
      </w:r>
      <w:r w:rsidRPr="003C5102">
        <w:rPr>
          <w:b w:val="0"/>
          <w:sz w:val="20"/>
          <w:szCs w:val="20"/>
        </w:rPr>
        <w:t xml:space="preserve"> can be a tedious manual task, potentially costing the researcher valuable time and effort.</w:t>
      </w:r>
      <w:r w:rsidR="000F011A">
        <w:rPr>
          <w:b w:val="0"/>
          <w:sz w:val="20"/>
          <w:szCs w:val="20"/>
        </w:rPr>
        <w:t xml:space="preserve">  </w:t>
      </w:r>
      <w:r w:rsidR="00AB27FF">
        <w:rPr>
          <w:b w:val="0"/>
          <w:sz w:val="20"/>
          <w:szCs w:val="20"/>
        </w:rPr>
        <w:t xml:space="preserve">In order to overcome this productivity bottleneck, robust application workflows </w:t>
      </w:r>
      <w:r w:rsidR="00D95A4A">
        <w:rPr>
          <w:b w:val="0"/>
          <w:sz w:val="20"/>
          <w:szCs w:val="20"/>
        </w:rPr>
        <w:t>for automating</w:t>
      </w:r>
      <w:r w:rsidR="00AB27FF">
        <w:rPr>
          <w:b w:val="0"/>
          <w:sz w:val="20"/>
          <w:szCs w:val="20"/>
        </w:rPr>
        <w:t xml:space="preserve"> most of the steps involved in sequence analysis and</w:t>
      </w:r>
      <w:r w:rsidR="00D95A4A">
        <w:rPr>
          <w:b w:val="0"/>
          <w:sz w:val="20"/>
          <w:szCs w:val="20"/>
        </w:rPr>
        <w:t xml:space="preserve"> a</w:t>
      </w:r>
      <w:r w:rsidR="00AB27FF">
        <w:rPr>
          <w:b w:val="0"/>
          <w:sz w:val="20"/>
          <w:szCs w:val="20"/>
        </w:rPr>
        <w:t xml:space="preserve"> service-based portal system to abstract the intricacies of managing interactions with underlying high-performance computing machines</w:t>
      </w:r>
      <w:r w:rsidR="00D95A4A">
        <w:rPr>
          <w:b w:val="0"/>
          <w:sz w:val="20"/>
          <w:szCs w:val="20"/>
        </w:rPr>
        <w:t xml:space="preserve"> are being developed</w:t>
      </w:r>
      <w:r w:rsidR="00D84E12">
        <w:rPr>
          <w:b w:val="0"/>
          <w:sz w:val="20"/>
          <w:szCs w:val="20"/>
        </w:rPr>
        <w:t xml:space="preserve">.  This infrastructure will be expanded to </w:t>
      </w:r>
      <w:r w:rsidR="004A6CC9">
        <w:rPr>
          <w:b w:val="0"/>
          <w:sz w:val="20"/>
          <w:szCs w:val="20"/>
        </w:rPr>
        <w:t xml:space="preserve">provide service interfaces to map-reduce technologies and make the computing resources offered by traditional grids and clusters, as well as emerging Cloud platforms, more accessible to typical sequencing projects. </w:t>
      </w:r>
    </w:p>
    <w:p w:rsidR="006D4273" w:rsidRPr="006D4273" w:rsidRDefault="006D4273" w:rsidP="006D4273">
      <w:pPr>
        <w:pStyle w:val="Abstract"/>
        <w:rPr>
          <w:b w:val="0"/>
          <w:sz w:val="20"/>
          <w:szCs w:val="20"/>
        </w:rPr>
      </w:pPr>
      <w:r w:rsidRPr="006D4273">
        <w:rPr>
          <w:b w:val="0"/>
          <w:sz w:val="20"/>
          <w:szCs w:val="20"/>
        </w:rPr>
        <w:t>This paper and the accompanying live demonstration first briefly detail the design and implementation of a software package to automate the setup steps for a specific sequence analysis workflow and a</w:t>
      </w:r>
      <w:r w:rsidR="00A172DE">
        <w:rPr>
          <w:b w:val="0"/>
          <w:sz w:val="20"/>
          <w:szCs w:val="20"/>
        </w:rPr>
        <w:t xml:space="preserve"> </w:t>
      </w:r>
      <w:r w:rsidRPr="006D4273">
        <w:rPr>
          <w:b w:val="0"/>
          <w:sz w:val="20"/>
          <w:szCs w:val="20"/>
        </w:rPr>
        <w:t>generalized service-oriented architecture (SOA) to expose this pipeline and other analysis tools as web services.  Then, a simple web interface for submitting and managing live jobs on high-performance computing platforms is presented as an example of the flexibility in building applications afforded by web service composition.</w:t>
      </w:r>
    </w:p>
    <w:p w:rsidR="003C5102" w:rsidRPr="003C5102" w:rsidRDefault="003C5102" w:rsidP="003C5102">
      <w:pPr>
        <w:pStyle w:val="Abstract"/>
        <w:rPr>
          <w:b w:val="0"/>
          <w:sz w:val="20"/>
          <w:szCs w:val="20"/>
        </w:rPr>
      </w:pPr>
      <w:r w:rsidRPr="003C5102">
        <w:rPr>
          <w:b w:val="0"/>
          <w:sz w:val="20"/>
          <w:szCs w:val="20"/>
        </w:rPr>
        <w:t>.</w:t>
      </w:r>
    </w:p>
    <w:p w:rsidR="00E253F1" w:rsidRDefault="00E253F1" w:rsidP="00E253F1">
      <w:pPr>
        <w:pStyle w:val="Heading1"/>
      </w:pPr>
      <w:r>
        <w:t>Related Work</w:t>
      </w:r>
    </w:p>
    <w:p w:rsidR="00832A4E" w:rsidRDefault="00832A4E" w:rsidP="008E78C1">
      <w:pPr>
        <w:jc w:val="both"/>
        <w:rPr>
          <w:rFonts w:eastAsia="Times New Roman"/>
          <w:color w:val="000000"/>
        </w:rPr>
      </w:pPr>
    </w:p>
    <w:p w:rsidR="00F80A9B" w:rsidRPr="00F80A9B" w:rsidRDefault="00F80A9B" w:rsidP="008E78C1">
      <w:pPr>
        <w:jc w:val="both"/>
        <w:rPr>
          <w:rFonts w:eastAsia="Times New Roman"/>
          <w:color w:val="000000"/>
        </w:rPr>
      </w:pPr>
      <w:r w:rsidRPr="00F80A9B">
        <w:rPr>
          <w:rFonts w:eastAsia="Times New Roman"/>
          <w:color w:val="000000"/>
        </w:rPr>
        <w:t xml:space="preserve">A common early step in </w:t>
      </w:r>
      <w:r w:rsidR="008C54F5">
        <w:rPr>
          <w:rFonts w:eastAsia="Times New Roman"/>
          <w:color w:val="000000"/>
        </w:rPr>
        <w:t>typical biosequence analysis workflows i</w:t>
      </w:r>
      <w:r w:rsidRPr="00F80A9B">
        <w:rPr>
          <w:rFonts w:eastAsia="Times New Roman"/>
          <w:color w:val="000000"/>
        </w:rPr>
        <w:t>s sequen</w:t>
      </w:r>
      <w:r w:rsidR="00A004CB">
        <w:rPr>
          <w:rFonts w:eastAsia="Times New Roman"/>
          <w:color w:val="000000"/>
        </w:rPr>
        <w:t xml:space="preserve">ce alignment, wherein a set of </w:t>
      </w:r>
      <w:r w:rsidRPr="00F80A9B">
        <w:rPr>
          <w:rFonts w:eastAsia="Times New Roman"/>
          <w:color w:val="000000"/>
        </w:rPr>
        <w:t>input sequences are compared to a databases of well-kn</w:t>
      </w:r>
      <w:r w:rsidR="00403873">
        <w:rPr>
          <w:rFonts w:eastAsia="Times New Roman"/>
          <w:color w:val="000000"/>
        </w:rPr>
        <w:t xml:space="preserve">own sequences, such as the </w:t>
      </w:r>
      <w:r w:rsidRPr="00F80A9B">
        <w:rPr>
          <w:rFonts w:eastAsia="Times New Roman"/>
          <w:color w:val="000000"/>
        </w:rPr>
        <w:t xml:space="preserve">human genome, or against each other. </w:t>
      </w:r>
      <w:r w:rsidR="008C54F5">
        <w:rPr>
          <w:rFonts w:eastAsia="Times New Roman"/>
          <w:color w:val="000000"/>
        </w:rPr>
        <w:t xml:space="preserve"> Many of these pipelines employ</w:t>
      </w:r>
      <w:r w:rsidRPr="00F80A9B">
        <w:rPr>
          <w:rFonts w:eastAsia="Times New Roman"/>
          <w:color w:val="000000"/>
        </w:rPr>
        <w:t xml:space="preserve"> the Smith Waterman-Gotoh (SW-G) algorithm, a local sequence-alignment tool which calculates similarities between regions of protein or DNA sequences and scales like O(N2)</w:t>
      </w:r>
      <w:r w:rsidR="00403873">
        <w:rPr>
          <w:rFonts w:eastAsia="Times New Roman"/>
          <w:color w:val="000000"/>
        </w:rPr>
        <w:t xml:space="preserve"> [</w:t>
      </w:r>
      <w:r w:rsidR="004043DF">
        <w:rPr>
          <w:rFonts w:eastAsia="Times New Roman"/>
          <w:color w:val="000000"/>
        </w:rPr>
        <w:t>4, 5</w:t>
      </w:r>
      <w:r w:rsidR="00403873">
        <w:rPr>
          <w:rFonts w:eastAsia="Times New Roman"/>
          <w:color w:val="000000"/>
        </w:rPr>
        <w:t>]</w:t>
      </w:r>
      <w:r w:rsidRPr="00F80A9B">
        <w:rPr>
          <w:rFonts w:eastAsia="Times New Roman"/>
          <w:color w:val="000000"/>
        </w:rPr>
        <w:t xml:space="preserve">.  Recent work has focused on </w:t>
      </w:r>
      <w:r w:rsidR="008C54F5">
        <w:rPr>
          <w:rFonts w:eastAsia="Times New Roman"/>
          <w:color w:val="000000"/>
        </w:rPr>
        <w:t xml:space="preserve">multiple parallel implementations of this algorithm, including MPI, DryadLINQ,  Apache Hadoop, and Twister (Iterative Map-Reduce) </w:t>
      </w:r>
      <w:r w:rsidRPr="00F80A9B">
        <w:rPr>
          <w:rFonts w:eastAsia="Times New Roman"/>
          <w:color w:val="000000"/>
        </w:rPr>
        <w:t>to examine Alu clustering[</w:t>
      </w:r>
      <w:r w:rsidR="004043DF">
        <w:rPr>
          <w:rFonts w:eastAsia="Times New Roman"/>
          <w:color w:val="000000"/>
        </w:rPr>
        <w:t>6,7</w:t>
      </w:r>
      <w:r w:rsidR="000500EE">
        <w:rPr>
          <w:rFonts w:eastAsia="Times New Roman"/>
          <w:color w:val="000000"/>
        </w:rPr>
        <w:t>,</w:t>
      </w:r>
      <w:r w:rsidR="004043DF">
        <w:rPr>
          <w:rFonts w:eastAsia="Times New Roman"/>
          <w:color w:val="000000"/>
        </w:rPr>
        <w:t>8</w:t>
      </w:r>
      <w:r w:rsidR="008C54F5">
        <w:rPr>
          <w:rFonts w:eastAsia="Times New Roman"/>
          <w:color w:val="000000"/>
        </w:rPr>
        <w:t>].</w:t>
      </w:r>
      <w:r w:rsidRPr="00F80A9B">
        <w:rPr>
          <w:rFonts w:eastAsia="Times New Roman"/>
          <w:color w:val="000000"/>
        </w:rPr>
        <w:t xml:space="preserve">  </w:t>
      </w:r>
      <w:r w:rsidRPr="00F80A9B">
        <w:rPr>
          <w:rFonts w:eastAsia="Times New Roman"/>
          <w:color w:val="000000"/>
        </w:rPr>
        <w:br/>
      </w:r>
      <w:r w:rsidRPr="00F80A9B">
        <w:rPr>
          <w:rFonts w:eastAsia="Times New Roman"/>
          <w:color w:val="000000"/>
        </w:rPr>
        <w:br/>
        <w:t xml:space="preserve">The pipeline model discussed here presents a flexible architecture which allows for the use of any of these Smith </w:t>
      </w:r>
      <w:r w:rsidRPr="00F80A9B">
        <w:rPr>
          <w:rFonts w:eastAsia="Times New Roman"/>
          <w:color w:val="000000"/>
        </w:rPr>
        <w:lastRenderedPageBreak/>
        <w:t xml:space="preserve">Waterman-Gotoh implementations, as well as other alignment and analysis tools as they become available.  By exposing this entire pipeline framework through standard web service interfaces, the described portal system </w:t>
      </w:r>
      <w:r w:rsidR="00832A4E">
        <w:rPr>
          <w:rFonts w:eastAsia="Times New Roman"/>
          <w:color w:val="000000"/>
        </w:rPr>
        <w:t xml:space="preserve">builds on earlier </w:t>
      </w:r>
      <w:r w:rsidR="00C976B6">
        <w:rPr>
          <w:rFonts w:eastAsia="Times New Roman"/>
          <w:color w:val="000000"/>
        </w:rPr>
        <w:t>gateway</w:t>
      </w:r>
      <w:r w:rsidR="00832A4E">
        <w:rPr>
          <w:rFonts w:eastAsia="Times New Roman"/>
          <w:color w:val="000000"/>
        </w:rPr>
        <w:t xml:space="preserve"> </w:t>
      </w:r>
      <w:r w:rsidR="00C976B6">
        <w:rPr>
          <w:rFonts w:eastAsia="Times New Roman"/>
          <w:color w:val="000000"/>
        </w:rPr>
        <w:t>ideas</w:t>
      </w:r>
      <w:r w:rsidR="00832A4E">
        <w:rPr>
          <w:rFonts w:eastAsia="Times New Roman"/>
          <w:color w:val="000000"/>
        </w:rPr>
        <w:t xml:space="preserve"> [3] and</w:t>
      </w:r>
      <w:r w:rsidR="00A004CB">
        <w:rPr>
          <w:rFonts w:eastAsia="Times New Roman"/>
          <w:color w:val="000000"/>
        </w:rPr>
        <w:t xml:space="preserve"> </w:t>
      </w:r>
      <w:r w:rsidRPr="00F80A9B">
        <w:rPr>
          <w:rFonts w:eastAsia="Times New Roman"/>
          <w:color w:val="000000"/>
        </w:rPr>
        <w:t>enable</w:t>
      </w:r>
      <w:r w:rsidR="00832A4E">
        <w:rPr>
          <w:rFonts w:eastAsia="Times New Roman"/>
          <w:color w:val="000000"/>
        </w:rPr>
        <w:t>s</w:t>
      </w:r>
      <w:r w:rsidRPr="00F80A9B">
        <w:rPr>
          <w:rFonts w:eastAsia="Times New Roman"/>
          <w:color w:val="000000"/>
        </w:rPr>
        <w:t xml:space="preserve"> the researcher to employ the appropriate computational strategy based on the specific problem at hand and available computational platform</w:t>
      </w:r>
      <w:r w:rsidR="006260F0">
        <w:rPr>
          <w:rFonts w:eastAsia="Times New Roman"/>
          <w:color w:val="000000"/>
        </w:rPr>
        <w:t>s</w:t>
      </w:r>
      <w:r w:rsidRPr="00F80A9B">
        <w:rPr>
          <w:rFonts w:eastAsia="Times New Roman"/>
          <w:color w:val="000000"/>
        </w:rPr>
        <w:t xml:space="preserve">, </w:t>
      </w:r>
      <w:r w:rsidR="006260F0">
        <w:rPr>
          <w:rFonts w:eastAsia="Times New Roman"/>
          <w:color w:val="000000"/>
        </w:rPr>
        <w:t xml:space="preserve">serving as a simple gateway to </w:t>
      </w:r>
      <w:r w:rsidRPr="00F80A9B">
        <w:rPr>
          <w:rFonts w:eastAsia="Times New Roman"/>
          <w:color w:val="000000"/>
        </w:rPr>
        <w:t>grid, cluster, and Cloud</w:t>
      </w:r>
      <w:r w:rsidR="00A7572C">
        <w:rPr>
          <w:rFonts w:eastAsia="Times New Roman"/>
          <w:color w:val="000000"/>
        </w:rPr>
        <w:t xml:space="preserve"> </w:t>
      </w:r>
      <w:r w:rsidRPr="00F80A9B">
        <w:rPr>
          <w:rFonts w:eastAsia="Times New Roman"/>
          <w:color w:val="000000"/>
        </w:rPr>
        <w:t>resources.</w:t>
      </w:r>
    </w:p>
    <w:p w:rsidR="00F554E8" w:rsidRPr="00F554E8" w:rsidRDefault="00F554E8" w:rsidP="00F554E8"/>
    <w:p w:rsidR="00E253F1" w:rsidRPr="005A74AF" w:rsidRDefault="00E253F1" w:rsidP="00E253F1">
      <w:pPr>
        <w:pStyle w:val="Heading1"/>
      </w:pPr>
      <w:r>
        <w:t>Biosequence Classification Workflow</w:t>
      </w:r>
    </w:p>
    <w:p w:rsidR="00854E7B" w:rsidRDefault="00B2044A" w:rsidP="00F43004">
      <w:pPr>
        <w:pStyle w:val="BodyText"/>
      </w:pPr>
      <w:r>
        <w:t xml:space="preserve">One important aspect of biosequence analysis involves classifying </w:t>
      </w:r>
      <w:r w:rsidR="00854E7B">
        <w:t>biologi</w:t>
      </w:r>
      <w:r>
        <w:t>cal sequences of either DNA or p</w:t>
      </w:r>
      <w:r w:rsidR="00854E7B">
        <w:t>rotein</w:t>
      </w:r>
      <w:r w:rsidR="005E30CC">
        <w:t>s</w:t>
      </w:r>
      <w:r w:rsidR="00854E7B">
        <w:t xml:space="preserve"> </w:t>
      </w:r>
      <w:r>
        <w:t>into clusters of similar nature, enabling biologists to draw conclusions about a set of sequence reads</w:t>
      </w:r>
      <w:r w:rsidR="007251EF">
        <w:t xml:space="preserve"> relative to each other</w:t>
      </w:r>
      <w:r>
        <w:t>.  Such clas</w:t>
      </w:r>
      <w:r w:rsidR="003E652F">
        <w:t xml:space="preserve">sification </w:t>
      </w:r>
      <w:r w:rsidR="00854E7B">
        <w:t>begins with the calculation of a value to indicate the similarity between each pair of sequences. This value is usually known as the distance between two sequences. Thus, a matrix of distances for each pair is generated and is fed to a clustering algorithm implementation. The clustering algorithm will assign a group number to each sequence such that sequences with similar distances to other sequences fall i</w:t>
      </w:r>
      <w:r w:rsidR="005E30CC">
        <w:t>nto the same group.</w:t>
      </w:r>
    </w:p>
    <w:p w:rsidR="0064080A" w:rsidRDefault="00854E7B" w:rsidP="00854E7B">
      <w:pPr>
        <w:pStyle w:val="BodyText"/>
      </w:pPr>
      <w:r>
        <w:t xml:space="preserve">The previous steps are the essence of </w:t>
      </w:r>
      <w:r w:rsidR="005E30CC">
        <w:t xml:space="preserve">the </w:t>
      </w:r>
      <w:r>
        <w:t>classification process. A visualization step, however, dramatically increases the usefulness of such results for analytical purposes. Therefore, a point visualization based on the same distance matrix is attached to the chain of algorithms. The goal of the</w:t>
      </w:r>
      <w:r w:rsidR="005E30CC">
        <w:t xml:space="preserve"> visualization</w:t>
      </w:r>
      <w:r>
        <w:t xml:space="preserve"> algorithm is to find 3-dimensional</w:t>
      </w:r>
      <w:r w:rsidR="00570CA2">
        <w:t xml:space="preserve"> (3D)</w:t>
      </w:r>
      <w:r>
        <w:t xml:space="preserve"> coordinates for each sequence such that each pair of</w:t>
      </w:r>
      <w:r w:rsidR="005E30CC">
        <w:t xml:space="preserve"> points has the same distance as</w:t>
      </w:r>
      <w:r>
        <w:t xml:space="preserve"> the corresponding two sequences in the distance matrix. A visualization tool is then able to produce a </w:t>
      </w:r>
      <w:r w:rsidR="00570CA2">
        <w:t>3D</w:t>
      </w:r>
      <w:r>
        <w:t xml:space="preserve"> picture depicting the clustering of sequences</w:t>
      </w:r>
      <w:r w:rsidR="00085B4B" w:rsidRPr="005A74AF">
        <w:t>.</w:t>
      </w:r>
      <w:r w:rsidR="007251EF">
        <w:t xml:space="preserve">  </w:t>
      </w:r>
      <w:r w:rsidR="0064080A">
        <w:t>The classification scheme described here is shown in Fig. 1.</w:t>
      </w:r>
    </w:p>
    <w:p w:rsidR="00347B58" w:rsidRDefault="00316D03" w:rsidP="00347B58">
      <w:pPr>
        <w:pStyle w:val="BodyText"/>
      </w:pPr>
      <w:r>
        <w:t xml:space="preserve">Several pieces of software work in a flow (pipeline) to complete one classification task. </w:t>
      </w:r>
      <w:r w:rsidR="007251EF">
        <w:t xml:space="preserve">Because of the large input sets typical of such a sequence classification study, the use of </w:t>
      </w:r>
      <w:r>
        <w:t xml:space="preserve">HPC resources is vital to the timely completion of these analyses.  In order to simplify the creation of HPC jobs to execute analysis pipelines, a  </w:t>
      </w:r>
      <w:r w:rsidR="00347B58">
        <w:t xml:space="preserve">job configuration and submission tool </w:t>
      </w:r>
      <w:r>
        <w:t>has been developed</w:t>
      </w:r>
      <w:r w:rsidR="00610EC5">
        <w:t xml:space="preserve"> as a </w:t>
      </w:r>
      <w:r w:rsidR="00347B58">
        <w:t>simple Graphical User Interface (GUI) to select the suite of algorithms</w:t>
      </w:r>
      <w:r w:rsidR="00610EC5">
        <w:t xml:space="preserve"> and</w:t>
      </w:r>
      <w:r w:rsidR="00347B58">
        <w:t xml:space="preserve"> the computer cluster nodes</w:t>
      </w:r>
      <w:r w:rsidR="00610EC5">
        <w:t>, and to allow</w:t>
      </w:r>
      <w:r w:rsidR="00347B58">
        <w:t xml:space="preserve"> configuring the algorithm parameters. The job is saved to the local machine, which makes it easy to perform a re-run or to use some of the algorithm configurations for a new job. </w:t>
      </w:r>
      <w:r>
        <w:t xml:space="preserve">  </w:t>
      </w:r>
      <w:fldSimple w:instr=" REF _Ref269123029 \h  \* MERGEFORMAT ">
        <w:r w:rsidR="00347B58">
          <w:t>Fig. 2</w:t>
        </w:r>
      </w:fldSimple>
      <w:r w:rsidR="00347B58">
        <w:t xml:space="preserve"> </w:t>
      </w:r>
      <w:r>
        <w:t xml:space="preserve">shows a </w:t>
      </w:r>
      <w:r>
        <w:lastRenderedPageBreak/>
        <w:t>screen shot of this job-building</w:t>
      </w:r>
      <w:r w:rsidR="00FF6DBC">
        <w:t xml:space="preserve"> tool, which will be demonstrated during the live exhibition.</w:t>
      </w:r>
      <w:r w:rsidR="00347B58">
        <w:t xml:space="preserve"> </w:t>
      </w:r>
    </w:p>
    <w:p w:rsidR="00161F65" w:rsidRDefault="00161F65" w:rsidP="00347B58">
      <w:pPr>
        <w:pStyle w:val="BodyText"/>
      </w:pPr>
    </w:p>
    <w:p w:rsidR="00161F65" w:rsidRDefault="00161F65" w:rsidP="00161F65">
      <w:pPr>
        <w:pStyle w:val="Heading1"/>
      </w:pPr>
      <w:r>
        <w:t>Service-Oriented Architecture</w:t>
      </w:r>
    </w:p>
    <w:p w:rsidR="007B533E" w:rsidRDefault="003D5ECB" w:rsidP="007B533E">
      <w:pPr>
        <w:pStyle w:val="BodyText"/>
      </w:pPr>
      <w:r>
        <w:t>Exposing computational tools, such as the analysis pipeline described above, through simple web</w:t>
      </w:r>
      <w:r w:rsidR="00BC5CB8">
        <w:t xml:space="preserve"> service</w:t>
      </w:r>
      <w:r>
        <w:t xml:space="preserve"> interfaces further simplifies the task of managing HPC jobs.  To this end</w:t>
      </w:r>
      <w:r w:rsidR="00161F65">
        <w:t>, the SALSA Portal is being developed as a suite of generic web services for creating and managing HPC jobs on a wide variety of computing platforms.  Because these utilities are presented as services, they are readily consumable by ma</w:t>
      </w:r>
      <w:r w:rsidR="004043DF">
        <w:t>ny types of software clients [9</w:t>
      </w:r>
      <w:r w:rsidR="00161F65">
        <w:t>], including web sites and desktop applications, allowing end users to compose the services into utilities that satisfy their individual needs.  Furthermore, the service architecture is fully extensible, enabling access to new analysis tools and computing platforms, as they become available, with minimal new development effort.</w:t>
      </w:r>
    </w:p>
    <w:p w:rsidR="00AB2965" w:rsidRPr="0083767A" w:rsidRDefault="009E0CEB" w:rsidP="007B533E">
      <w:pPr>
        <w:pStyle w:val="BodyText"/>
      </w:pPr>
      <w:r>
        <w:t xml:space="preserve">To accomplish these goals, </w:t>
      </w:r>
      <w:r w:rsidR="0034542B">
        <w:t>certain</w:t>
      </w:r>
      <w:r w:rsidR="0034542B" w:rsidRPr="0034542B">
        <w:t xml:space="preserve"> </w:t>
      </w:r>
      <w:r w:rsidR="0034542B">
        <w:t xml:space="preserve">foundational functionalities are required for managing computational jobs under most conditions, and these </w:t>
      </w:r>
      <w:r w:rsidR="0034542B">
        <w:rPr>
          <w:i/>
        </w:rPr>
        <w:t>use</w:t>
      </w:r>
      <w:r w:rsidR="0034542B" w:rsidRPr="0034542B">
        <w:rPr>
          <w:i/>
        </w:rPr>
        <w:t xml:space="preserve"> </w:t>
      </w:r>
      <w:r w:rsidR="0034542B">
        <w:rPr>
          <w:i/>
        </w:rPr>
        <w:t>cases</w:t>
      </w:r>
      <w:r w:rsidR="0034542B">
        <w:t xml:space="preserve"> form the basis for the Portal’s design.  The major areas of functionality provided by Portal</w:t>
      </w:r>
      <w:r w:rsidR="0034542B" w:rsidRPr="0034542B">
        <w:t xml:space="preserve"> </w:t>
      </w:r>
      <w:r w:rsidR="0034542B">
        <w:t xml:space="preserve">services are as follows: </w:t>
      </w:r>
      <w:r w:rsidR="0034542B" w:rsidRPr="00013202">
        <w:rPr>
          <w:i/>
        </w:rPr>
        <w:t>Security</w:t>
      </w:r>
      <w:r w:rsidR="0034542B">
        <w:t xml:space="preserve">, </w:t>
      </w:r>
      <w:r w:rsidR="0034542B" w:rsidRPr="00013202">
        <w:rPr>
          <w:i/>
        </w:rPr>
        <w:t>Resource Discovery</w:t>
      </w:r>
      <w:r w:rsidR="0034542B">
        <w:t>,</w:t>
      </w:r>
      <w:r w:rsidR="00AB2965" w:rsidRPr="00AB2965">
        <w:rPr>
          <w:i/>
        </w:rPr>
        <w:t xml:space="preserve"> </w:t>
      </w:r>
      <w:r w:rsidR="00AB2965" w:rsidRPr="00013202">
        <w:rPr>
          <w:i/>
        </w:rPr>
        <w:t>Data Transfer</w:t>
      </w:r>
      <w:r w:rsidR="00AB2965">
        <w:t xml:space="preserve">, </w:t>
      </w:r>
      <w:r w:rsidR="00AB2965" w:rsidRPr="00013202">
        <w:rPr>
          <w:i/>
        </w:rPr>
        <w:t>Job Management</w:t>
      </w:r>
      <w:r w:rsidR="00AB2965">
        <w:t xml:space="preserve">, and </w:t>
      </w:r>
      <w:r w:rsidR="00AB2965" w:rsidRPr="00BC4FAF">
        <w:rPr>
          <w:i/>
        </w:rPr>
        <w:t>Portal Administration</w:t>
      </w:r>
      <w:r w:rsidR="00AB2965">
        <w:t xml:space="preserve">.  </w:t>
      </w:r>
    </w:p>
    <w:p w:rsidR="00C751FF" w:rsidRDefault="00311FCD" w:rsidP="00F046AC">
      <w:pPr>
        <w:pStyle w:val="BodyText"/>
      </w:pPr>
      <w:r>
        <w:t xml:space="preserve">To address these </w:t>
      </w:r>
      <w:r w:rsidR="00F046AC">
        <w:t xml:space="preserve">use case </w:t>
      </w:r>
      <w:r>
        <w:t>requirements, the SALSA Portal was designed as a Service-Oriented Architecture (SOA) arranged in logical layers [1</w:t>
      </w:r>
      <w:r w:rsidR="004043DF">
        <w:t>0</w:t>
      </w:r>
      <w:r>
        <w:t xml:space="preserve">], </w:t>
      </w:r>
      <w:r w:rsidR="00464C17">
        <w:t xml:space="preserve">as shown in Fig. 3, </w:t>
      </w:r>
      <w:r>
        <w:t>allowing for software reuse and the composition of available functionalities.  Each layer</w:t>
      </w:r>
      <w:r w:rsidR="00C751FF" w:rsidRPr="00C751FF">
        <w:t xml:space="preserve"> </w:t>
      </w:r>
      <w:r w:rsidR="00C751FF">
        <w:t xml:space="preserve">consists of a set of software components that may be used to carry out the various actions required for job and resource management.  </w:t>
      </w:r>
    </w:p>
    <w:p w:rsidR="006D7C00" w:rsidRDefault="006D7C00" w:rsidP="006D7C00">
      <w:pPr>
        <w:pStyle w:val="BodyText"/>
      </w:pPr>
      <w:r>
        <w:t>Although multiple web-service technology frameworks are available for the implementation of portal-type systems, the Windows Communication Foundation (WCF) provides developers with a comprehensive set of features that make WCF very attractive for enterprise-quality software production in a variety of settings, as in [9].    Consequently, the SALSA Portal is implemented through WCF services.</w:t>
      </w:r>
    </w:p>
    <w:p w:rsidR="003C4665" w:rsidRDefault="000C3974" w:rsidP="000C3974">
      <w:pPr>
        <w:ind w:firstLine="288"/>
        <w:jc w:val="both"/>
      </w:pPr>
      <w:r>
        <w:t xml:space="preserve">By exposing the basic functions involved in managing computational jobs through simple web service interfaces, the SALSA Portal enables developers to rapidly develop applications in a variety of technologies in order to best serve specific scientific domains and user communities.  As shown in Fig. </w:t>
      </w:r>
      <w:r w:rsidR="00E55DC0">
        <w:t>4</w:t>
      </w:r>
      <w:r>
        <w:t xml:space="preserve">, a simple web interface has been developed which accesses a basic set of the SALSA web services in </w:t>
      </w:r>
    </w:p>
    <w:p w:rsidR="003C4665" w:rsidRDefault="003C4665" w:rsidP="0007660D">
      <w:pPr>
        <w:pStyle w:val="figurecaption"/>
        <w:numPr>
          <w:ilvl w:val="0"/>
          <w:numId w:val="0"/>
        </w:numPr>
        <w:sectPr w:rsidR="003C4665" w:rsidSect="00E77B53">
          <w:type w:val="continuous"/>
          <w:pgSz w:w="12240" w:h="15840" w:code="1"/>
          <w:pgMar w:top="1440" w:right="1080" w:bottom="1440" w:left="1080" w:header="720" w:footer="720" w:gutter="0"/>
          <w:cols w:num="2" w:space="360"/>
          <w:docGrid w:linePitch="360"/>
        </w:sectPr>
      </w:pPr>
    </w:p>
    <w:p w:rsidR="0007660D" w:rsidRDefault="0007660D" w:rsidP="0007660D">
      <w:pPr>
        <w:pStyle w:val="figurecaption"/>
        <w:numPr>
          <w:ilvl w:val="0"/>
          <w:numId w:val="0"/>
        </w:numPr>
        <w:rPr>
          <w:b/>
        </w:rPr>
      </w:pPr>
      <w:bookmarkStart w:id="0" w:name="_Ref269123029"/>
    </w:p>
    <w:p w:rsidR="0007660D" w:rsidRPr="005E02FE" w:rsidRDefault="0007660D" w:rsidP="0007660D">
      <w:pPr>
        <w:pStyle w:val="figurecaption"/>
        <w:numPr>
          <w:ilvl w:val="0"/>
          <w:numId w:val="0"/>
        </w:numPr>
        <w:rPr>
          <w:b/>
        </w:rPr>
      </w:pPr>
      <w:r>
        <w:rPr>
          <w:b/>
        </w:rPr>
        <w:drawing>
          <wp:inline distT="0" distB="0" distL="0" distR="0">
            <wp:extent cx="4004320" cy="751278"/>
            <wp:effectExtent l="19050" t="0" r="0" b="0"/>
            <wp:docPr id="3" name="Picture 19" descr="C:\Users\adalhugh.ADS\Desktop\Classification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alhugh.ADS\Desktop\ClassificationScheme.png"/>
                    <pic:cNvPicPr>
                      <a:picLocks noChangeAspect="1" noChangeArrowheads="1"/>
                    </pic:cNvPicPr>
                  </pic:nvPicPr>
                  <pic:blipFill>
                    <a:blip r:embed="rId11" cstate="print"/>
                    <a:srcRect/>
                    <a:stretch>
                      <a:fillRect/>
                    </a:stretch>
                  </pic:blipFill>
                  <pic:spPr bwMode="auto">
                    <a:xfrm>
                      <a:off x="0" y="0"/>
                      <a:ext cx="4089535" cy="767266"/>
                    </a:xfrm>
                    <a:prstGeom prst="rect">
                      <a:avLst/>
                    </a:prstGeom>
                    <a:noFill/>
                    <a:ln w="9525">
                      <a:noFill/>
                      <a:miter lim="800000"/>
                      <a:headEnd/>
                      <a:tailEnd/>
                    </a:ln>
                  </pic:spPr>
                </pic:pic>
              </a:graphicData>
            </a:graphic>
          </wp:inline>
        </w:drawing>
      </w:r>
    </w:p>
    <w:p w:rsidR="0007660D" w:rsidRPr="004D53FF" w:rsidRDefault="0007660D" w:rsidP="0007660D">
      <w:pPr>
        <w:pStyle w:val="figurecaption"/>
        <w:rPr>
          <w:b/>
        </w:rPr>
      </w:pPr>
      <w:r>
        <w:t>General</w:t>
      </w:r>
      <w:r w:rsidRPr="00E95DC1">
        <w:t xml:space="preserve"> Bioseqeunce Classification</w:t>
      </w:r>
      <w:bookmarkEnd w:id="0"/>
      <w:r>
        <w:t xml:space="preserve"> Scheme</w:t>
      </w:r>
    </w:p>
    <w:p w:rsidR="0007660D" w:rsidRDefault="0007660D" w:rsidP="0007660D">
      <w:pPr>
        <w:pStyle w:val="figurecaption"/>
        <w:sectPr w:rsidR="0007660D" w:rsidSect="00C47422">
          <w:type w:val="continuous"/>
          <w:pgSz w:w="12240" w:h="15840" w:code="1"/>
          <w:pgMar w:top="1440" w:right="1080" w:bottom="1440" w:left="1080" w:header="720" w:footer="720" w:gutter="0"/>
          <w:cols w:space="360"/>
          <w:docGrid w:linePitch="360"/>
        </w:sectPr>
      </w:pPr>
    </w:p>
    <w:p w:rsidR="00FC10D5" w:rsidRDefault="00FC10D5" w:rsidP="0007660D">
      <w:pPr>
        <w:pStyle w:val="figurecaption"/>
        <w:numPr>
          <w:ilvl w:val="0"/>
          <w:numId w:val="0"/>
        </w:numPr>
      </w:pPr>
    </w:p>
    <w:p w:rsidR="0007660D" w:rsidRPr="005E02FE" w:rsidRDefault="00AA4EFF" w:rsidP="0007660D">
      <w:pPr>
        <w:pStyle w:val="figurecaption"/>
        <w:numPr>
          <w:ilvl w:val="0"/>
          <w:numId w:val="0"/>
        </w:numPr>
        <w:rPr>
          <w:b/>
        </w:rPr>
      </w:pPr>
      <w:r>
        <w:drawing>
          <wp:inline distT="0" distB="0" distL="0" distR="0">
            <wp:extent cx="3492499" cy="2619375"/>
            <wp:effectExtent l="1905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495782" cy="2621838"/>
                    </a:xfrm>
                    <a:prstGeom prst="rect">
                      <a:avLst/>
                    </a:prstGeom>
                    <a:noFill/>
                    <a:ln w="9525">
                      <a:noFill/>
                      <a:miter lim="800000"/>
                      <a:headEnd/>
                      <a:tailEnd/>
                    </a:ln>
                  </pic:spPr>
                </pic:pic>
              </a:graphicData>
            </a:graphic>
          </wp:inline>
        </w:drawing>
      </w:r>
    </w:p>
    <w:p w:rsidR="00AA4EFF" w:rsidRDefault="00AA4EFF" w:rsidP="00AA4EFF">
      <w:pPr>
        <w:pStyle w:val="figurecaption"/>
      </w:pPr>
      <w:r>
        <w:t>A simple user interface for creating biosequence analysis pipeline jobs to run on HPC resources.</w:t>
      </w:r>
    </w:p>
    <w:p w:rsidR="0007660D" w:rsidRDefault="0007660D" w:rsidP="0007660D">
      <w:pPr>
        <w:pStyle w:val="figurecaption"/>
        <w:sectPr w:rsidR="0007660D" w:rsidSect="00C47422">
          <w:type w:val="continuous"/>
          <w:pgSz w:w="12240" w:h="15840" w:code="1"/>
          <w:pgMar w:top="1440" w:right="1080" w:bottom="1440" w:left="1080" w:header="720" w:footer="720" w:gutter="0"/>
          <w:cols w:space="360"/>
          <w:docGrid w:linePitch="360"/>
        </w:sectPr>
      </w:pPr>
    </w:p>
    <w:p w:rsidR="009B14DD" w:rsidRPr="009B14DD" w:rsidRDefault="009B14DD" w:rsidP="009B14DD"/>
    <w:p w:rsidR="006F6F08" w:rsidRDefault="006F6F08" w:rsidP="006F6F08">
      <w:pPr>
        <w:jc w:val="both"/>
      </w:pPr>
      <w:r>
        <w:t>order to carry out jobs based on the biosequence analysis</w:t>
      </w:r>
    </w:p>
    <w:p w:rsidR="009B14DD" w:rsidRDefault="009B14DD" w:rsidP="009B14DD">
      <w:pPr>
        <w:jc w:val="both"/>
      </w:pPr>
      <w:r>
        <w:t>pipeline discussed above.   This illustrative example will also be shown live during the accompanying demonstration session.</w:t>
      </w:r>
    </w:p>
    <w:p w:rsidR="00FF03D1" w:rsidRDefault="00FF03D1" w:rsidP="00FF03D1">
      <w:pPr>
        <w:pStyle w:val="Heading1"/>
        <w:numPr>
          <w:ilvl w:val="0"/>
          <w:numId w:val="17"/>
        </w:numPr>
      </w:pPr>
      <w:r>
        <w:t>Conclusion</w:t>
      </w:r>
    </w:p>
    <w:p w:rsidR="00156716" w:rsidRDefault="00FF03D1" w:rsidP="00251BF8">
      <w:pPr>
        <w:jc w:val="both"/>
        <w:sectPr w:rsidR="00156716" w:rsidSect="00E77B53">
          <w:type w:val="continuous"/>
          <w:pgSz w:w="12240" w:h="15840" w:code="1"/>
          <w:pgMar w:top="1440" w:right="1080" w:bottom="1440" w:left="1080" w:header="720" w:footer="720" w:gutter="0"/>
          <w:cols w:num="2" w:space="360"/>
          <w:docGrid w:linePitch="360"/>
        </w:sectPr>
      </w:pPr>
      <w:r w:rsidRPr="008E1D5F">
        <w:rPr>
          <w:rFonts w:eastAsia="Times New Roman"/>
          <w:color w:val="000000"/>
        </w:rPr>
        <w:t xml:space="preserve">The deluge of data produced by modern experimental techniques in the physical sciences is making it increasingly obvious that analysis and visualization no longer belongs </w:t>
      </w:r>
      <w:r w:rsidRPr="008E1D5F">
        <w:rPr>
          <w:rFonts w:eastAsia="Times New Roman"/>
          <w:color w:val="000000"/>
        </w:rPr>
        <w:lastRenderedPageBreak/>
        <w:t xml:space="preserve">solely in the realm of local laboratory computing resources.  Instead, such problems must be approached utilizing state-of-the-art software tools running on </w:t>
      </w:r>
      <w:r w:rsidR="00251BF8" w:rsidRPr="008E1D5F">
        <w:rPr>
          <w:rFonts w:eastAsia="Times New Roman"/>
          <w:color w:val="000000"/>
        </w:rPr>
        <w:t>distributed high-performance computing resources, both traditional clusters and various Cloud platforms.  The</w:t>
      </w:r>
      <w:r w:rsidR="00E567DB">
        <w:rPr>
          <w:rFonts w:eastAsia="Times New Roman"/>
          <w:color w:val="000000"/>
        </w:rPr>
        <w:t xml:space="preserve"> </w:t>
      </w:r>
      <w:r w:rsidR="00E567DB" w:rsidRPr="008E1D5F">
        <w:rPr>
          <w:rFonts w:eastAsia="Times New Roman"/>
          <w:color w:val="000000"/>
        </w:rPr>
        <w:t>substantial usage barrier for making full utilization of these resources often leaves researchers frustrated and with a mounting cache of raw data.</w:t>
      </w:r>
      <w:r w:rsidR="00E567DB" w:rsidRPr="008E1D5F">
        <w:rPr>
          <w:rFonts w:eastAsia="Times New Roman"/>
          <w:color w:val="000000"/>
        </w:rPr>
        <w:br/>
      </w:r>
    </w:p>
    <w:p w:rsidR="0095110E" w:rsidRDefault="0095110E" w:rsidP="00326FCE">
      <w:pPr>
        <w:pStyle w:val="figurecaption"/>
        <w:numPr>
          <w:ilvl w:val="0"/>
          <w:numId w:val="0"/>
        </w:numPr>
      </w:pPr>
    </w:p>
    <w:p w:rsidR="00326FCE" w:rsidRDefault="00165B6D" w:rsidP="00326FCE">
      <w:pPr>
        <w:pStyle w:val="figurecaption"/>
        <w:numPr>
          <w:ilvl w:val="0"/>
          <w:numId w:val="0"/>
        </w:numPr>
      </w:pPr>
      <w:r w:rsidRPr="00165B6D">
        <w:drawing>
          <wp:inline distT="0" distB="0" distL="0" distR="0">
            <wp:extent cx="3492500" cy="2619375"/>
            <wp:effectExtent l="19050" t="0" r="0" b="0"/>
            <wp:docPr id="12" name="Picture 16" descr="http://salsahpc.indiana.edu/nih/images/6/68/SalsaPortalArchitectu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sahpc.indiana.edu/nih/images/6/68/SalsaPortalArchitectureSmall.png"/>
                    <pic:cNvPicPr>
                      <a:picLocks noChangeAspect="1" noChangeArrowheads="1"/>
                    </pic:cNvPicPr>
                  </pic:nvPicPr>
                  <pic:blipFill>
                    <a:blip r:embed="rId13" cstate="print"/>
                    <a:srcRect/>
                    <a:stretch>
                      <a:fillRect/>
                    </a:stretch>
                  </pic:blipFill>
                  <pic:spPr bwMode="auto">
                    <a:xfrm>
                      <a:off x="0" y="0"/>
                      <a:ext cx="3495059" cy="2621295"/>
                    </a:xfrm>
                    <a:prstGeom prst="rect">
                      <a:avLst/>
                    </a:prstGeom>
                    <a:noFill/>
                    <a:ln w="9525">
                      <a:noFill/>
                      <a:miter lim="800000"/>
                      <a:headEnd/>
                      <a:tailEnd/>
                    </a:ln>
                  </pic:spPr>
                </pic:pic>
              </a:graphicData>
            </a:graphic>
          </wp:inline>
        </w:drawing>
      </w:r>
    </w:p>
    <w:p w:rsidR="00165B6D" w:rsidRDefault="00165B6D" w:rsidP="00165B6D">
      <w:pPr>
        <w:pStyle w:val="figurecaption"/>
      </w:pPr>
      <w:r>
        <w:t xml:space="preserve">The multi-tiered, service-oriented architecture of the SALSA Portal services.  All </w:t>
      </w:r>
      <w:r w:rsidRPr="00C05607">
        <w:rPr>
          <w:i/>
        </w:rPr>
        <w:t>Manager</w:t>
      </w:r>
      <w:r>
        <w:t xml:space="preserve"> components are exposed as web services and provide a loosely-coupled set of HPC functionalities that can be used to compose many different types of client applications.</w:t>
      </w:r>
    </w:p>
    <w:p w:rsidR="00326FCE" w:rsidRDefault="00326FCE" w:rsidP="00326FCE">
      <w:pPr>
        <w:pStyle w:val="figurecaption"/>
        <w:numPr>
          <w:ilvl w:val="0"/>
          <w:numId w:val="0"/>
        </w:numPr>
        <w:jc w:val="both"/>
      </w:pPr>
    </w:p>
    <w:p w:rsidR="00165B6D" w:rsidRDefault="00165B6D" w:rsidP="00326FCE">
      <w:pPr>
        <w:pStyle w:val="figurecaption"/>
        <w:numPr>
          <w:ilvl w:val="0"/>
          <w:numId w:val="0"/>
        </w:numPr>
        <w:jc w:val="both"/>
        <w:sectPr w:rsidR="00165B6D" w:rsidSect="002D7C57">
          <w:type w:val="continuous"/>
          <w:pgSz w:w="12240" w:h="15840" w:code="1"/>
          <w:pgMar w:top="1440" w:right="1080" w:bottom="1440" w:left="1080" w:header="720" w:footer="720" w:gutter="0"/>
          <w:cols w:space="360"/>
          <w:docGrid w:linePitch="360"/>
        </w:sectPr>
      </w:pPr>
    </w:p>
    <w:p w:rsidR="00BE4137" w:rsidRPr="008E1D5F" w:rsidRDefault="00BE4137" w:rsidP="00BE4137">
      <w:pPr>
        <w:jc w:val="both"/>
        <w:rPr>
          <w:rFonts w:eastAsia="Times New Roman"/>
          <w:color w:val="000000"/>
        </w:rPr>
      </w:pPr>
      <w:r w:rsidRPr="008E1D5F">
        <w:rPr>
          <w:rFonts w:eastAsia="Times New Roman"/>
          <w:color w:val="000000"/>
        </w:rPr>
        <w:lastRenderedPageBreak/>
        <w:t>The combination of algorithm “chaining” to form analysis pipelines and web services to allow easier access to</w:t>
      </w:r>
      <w:r w:rsidR="00F046AC">
        <w:rPr>
          <w:rFonts w:eastAsia="Times New Roman"/>
          <w:color w:val="000000"/>
        </w:rPr>
        <w:t xml:space="preserve"> such </w:t>
      </w:r>
      <w:r w:rsidRPr="008E1D5F">
        <w:rPr>
          <w:rFonts w:eastAsia="Times New Roman"/>
          <w:color w:val="000000"/>
        </w:rPr>
        <w:t xml:space="preserve"> computational tools holds much promise for easing the current tedious data manipulation burden facing many researchers</w:t>
      </w:r>
      <w:r>
        <w:rPr>
          <w:rFonts w:eastAsia="Times New Roman"/>
          <w:color w:val="000000"/>
        </w:rPr>
        <w:t xml:space="preserve"> in</w:t>
      </w:r>
      <w:r w:rsidRPr="008E1D5F">
        <w:rPr>
          <w:rFonts w:eastAsia="Times New Roman"/>
          <w:color w:val="000000"/>
        </w:rPr>
        <w:t xml:space="preserve"> the biology and health science fields</w:t>
      </w:r>
      <w:r>
        <w:rPr>
          <w:rFonts w:eastAsia="Times New Roman"/>
          <w:color w:val="000000"/>
        </w:rPr>
        <w:t xml:space="preserve">.  </w:t>
      </w:r>
      <w:r w:rsidRPr="008E1D5F">
        <w:rPr>
          <w:rFonts w:eastAsia="Times New Roman"/>
          <w:color w:val="000000"/>
        </w:rPr>
        <w:t>The extensible architecture of the SALSA Portal</w:t>
      </w:r>
      <w:r>
        <w:rPr>
          <w:rFonts w:eastAsia="Times New Roman"/>
          <w:color w:val="000000"/>
        </w:rPr>
        <w:t xml:space="preserve"> allows</w:t>
      </w:r>
      <w:r w:rsidRPr="008E1D5F">
        <w:rPr>
          <w:rFonts w:eastAsia="Times New Roman"/>
          <w:color w:val="000000"/>
        </w:rPr>
        <w:t xml:space="preserve"> for relatively simple expansion to support new software tools and computing platforms as they are developed in the coming years.  This flexibility </w:t>
      </w:r>
      <w:r>
        <w:rPr>
          <w:rFonts w:eastAsia="Times New Roman"/>
          <w:color w:val="000000"/>
        </w:rPr>
        <w:t xml:space="preserve">will be exhibited during the live exhibition through a demonstration of a simple web </w:t>
      </w:r>
      <w:r>
        <w:rPr>
          <w:rFonts w:eastAsia="Times New Roman"/>
          <w:color w:val="000000"/>
        </w:rPr>
        <w:lastRenderedPageBreak/>
        <w:t>application orchestrated through composition of SALSA web services as described here.</w:t>
      </w:r>
    </w:p>
    <w:p w:rsidR="00BE4137" w:rsidRPr="008E1D5F" w:rsidRDefault="00BE4137" w:rsidP="00BE4137"/>
    <w:p w:rsidR="00BE4137" w:rsidRPr="005A74AF" w:rsidRDefault="00BE4137" w:rsidP="00BE4137">
      <w:pPr>
        <w:pStyle w:val="Heading5"/>
      </w:pPr>
      <w:r w:rsidRPr="005A74AF">
        <w:t>Acknowledgment</w:t>
      </w:r>
    </w:p>
    <w:p w:rsidR="00BE4137" w:rsidRDefault="00BE4137" w:rsidP="00BE4137">
      <w:pPr>
        <w:pStyle w:val="BodyText"/>
        <w:rPr>
          <w:dstrike/>
        </w:rPr>
      </w:pPr>
      <w:r>
        <w:t xml:space="preserve">This work is supported by the National Institutes of Health under grant </w:t>
      </w:r>
      <w:r w:rsidRPr="00596CCF">
        <w:t>5 RC2 HG005806-02</w:t>
      </w:r>
      <w:r w:rsidRPr="005A74AF">
        <w:t>.</w:t>
      </w:r>
    </w:p>
    <w:p w:rsidR="00C84D86" w:rsidRDefault="00C84D86" w:rsidP="00C84D86">
      <w:pPr>
        <w:jc w:val="both"/>
      </w:pPr>
    </w:p>
    <w:p w:rsidR="00BE4137" w:rsidRDefault="00BE4137" w:rsidP="00C84D86">
      <w:pPr>
        <w:jc w:val="both"/>
        <w:sectPr w:rsidR="00BE4137" w:rsidSect="00E77B53">
          <w:type w:val="continuous"/>
          <w:pgSz w:w="12240" w:h="15840" w:code="1"/>
          <w:pgMar w:top="1440" w:right="1080" w:bottom="1440" w:left="1080" w:header="720" w:footer="720" w:gutter="0"/>
          <w:cols w:num="2" w:space="360"/>
          <w:docGrid w:linePitch="360"/>
        </w:sectPr>
      </w:pPr>
    </w:p>
    <w:p w:rsidR="00C84D86" w:rsidRDefault="00C84D86" w:rsidP="00C84D86">
      <w:pPr>
        <w:pStyle w:val="figurecaption"/>
        <w:numPr>
          <w:ilvl w:val="0"/>
          <w:numId w:val="0"/>
        </w:numPr>
      </w:pPr>
    </w:p>
    <w:p w:rsidR="00C84D86" w:rsidRDefault="00C84D86" w:rsidP="00C84D86">
      <w:pPr>
        <w:pStyle w:val="figurecaption"/>
        <w:numPr>
          <w:ilvl w:val="0"/>
          <w:numId w:val="0"/>
        </w:numPr>
      </w:pPr>
      <w:r>
        <w:drawing>
          <wp:inline distT="0" distB="0" distL="0" distR="0">
            <wp:extent cx="4050862" cy="3103817"/>
            <wp:effectExtent l="19050" t="0" r="6788"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4058513" cy="3109680"/>
                    </a:xfrm>
                    <a:prstGeom prst="rect">
                      <a:avLst/>
                    </a:prstGeom>
                    <a:noFill/>
                    <a:ln w="9525">
                      <a:noFill/>
                      <a:miter lim="800000"/>
                      <a:headEnd/>
                      <a:tailEnd/>
                    </a:ln>
                  </pic:spPr>
                </pic:pic>
              </a:graphicData>
            </a:graphic>
          </wp:inline>
        </w:drawing>
      </w:r>
    </w:p>
    <w:p w:rsidR="00C84D86" w:rsidRDefault="00C84D86" w:rsidP="00C84D86">
      <w:pPr>
        <w:pStyle w:val="figurecaption"/>
      </w:pPr>
      <w:r>
        <w:t>A simple web client that utilizes SALSA Portal web services to provide HPC resource discovery, file transfer, and computational job control functionalities to end users.</w:t>
      </w:r>
    </w:p>
    <w:p w:rsidR="00C84D86" w:rsidRDefault="00C84D86" w:rsidP="00C84D86">
      <w:pPr>
        <w:pStyle w:val="figurecaption"/>
        <w:numPr>
          <w:ilvl w:val="0"/>
          <w:numId w:val="0"/>
        </w:numPr>
        <w:jc w:val="both"/>
      </w:pPr>
    </w:p>
    <w:p w:rsidR="000310A9" w:rsidRDefault="000310A9" w:rsidP="00C84D86">
      <w:pPr>
        <w:pStyle w:val="figurecaption"/>
        <w:numPr>
          <w:ilvl w:val="0"/>
          <w:numId w:val="0"/>
        </w:numPr>
        <w:jc w:val="both"/>
        <w:sectPr w:rsidR="000310A9" w:rsidSect="002D7C57">
          <w:type w:val="continuous"/>
          <w:pgSz w:w="12240" w:h="15840" w:code="1"/>
          <w:pgMar w:top="1440" w:right="1080" w:bottom="1440" w:left="1080" w:header="720" w:footer="720" w:gutter="0"/>
          <w:cols w:space="360"/>
          <w:docGrid w:linePitch="360"/>
        </w:sectPr>
      </w:pPr>
    </w:p>
    <w:p w:rsidR="009303D9" w:rsidRDefault="009303D9" w:rsidP="005B520E">
      <w:pPr>
        <w:pStyle w:val="Heading5"/>
      </w:pPr>
      <w:r w:rsidRPr="005B520E">
        <w:lastRenderedPageBreak/>
        <w:t>References</w:t>
      </w:r>
    </w:p>
    <w:p w:rsidR="009303D9" w:rsidRPr="005B520E" w:rsidRDefault="009303D9"/>
    <w:p w:rsidR="009017D6" w:rsidRPr="008F1072" w:rsidRDefault="009017D6" w:rsidP="009017D6">
      <w:pPr>
        <w:pStyle w:val="references"/>
      </w:pPr>
      <w:r w:rsidRPr="008F1072">
        <w:t xml:space="preserve">M. Marguilies et al., “Genome sequencing in microfabricated </w:t>
      </w:r>
      <w:r w:rsidR="00CC0CB4" w:rsidRPr="008F1072">
        <w:t>high-density picolitre reactors</w:t>
      </w:r>
      <w:r w:rsidR="00145A8E">
        <w:t>,</w:t>
      </w:r>
      <w:r w:rsidRPr="008F1072">
        <w:t>”</w:t>
      </w:r>
      <w:r w:rsidR="00145A8E">
        <w:t xml:space="preserve"> </w:t>
      </w:r>
      <w:r w:rsidRPr="00472C6A">
        <w:rPr>
          <w:i/>
        </w:rPr>
        <w:t>Nature</w:t>
      </w:r>
      <w:r w:rsidR="00472C6A">
        <w:t xml:space="preserve">, vol. 441, no. </w:t>
      </w:r>
      <w:r w:rsidRPr="008F1072">
        <w:t xml:space="preserve">7089, </w:t>
      </w:r>
      <w:r w:rsidR="00472C6A">
        <w:t xml:space="preserve">. </w:t>
      </w:r>
      <w:r w:rsidR="00472C6A" w:rsidRPr="008F1072">
        <w:t>pp. 376-380</w:t>
      </w:r>
      <w:r w:rsidR="00472C6A">
        <w:t>, Sep. 2005</w:t>
      </w:r>
      <w:r w:rsidRPr="008F1072">
        <w:t>.</w:t>
      </w:r>
    </w:p>
    <w:p w:rsidR="009303D9" w:rsidRPr="008F1072" w:rsidRDefault="005A4813">
      <w:pPr>
        <w:pStyle w:val="references"/>
      </w:pPr>
      <w:r>
        <w:t xml:space="preserve">  </w:t>
      </w:r>
      <w:r w:rsidR="009017D6" w:rsidRPr="008F1072">
        <w:t>B. Richter and D. Sexton, “Managing and Analyzing Next-Generation Sequence Data</w:t>
      </w:r>
      <w:r w:rsidR="00145A8E">
        <w:t>,”</w:t>
      </w:r>
      <w:r w:rsidR="009303D9" w:rsidRPr="008F1072">
        <w:t xml:space="preserve"> </w:t>
      </w:r>
      <w:r w:rsidR="00074D23" w:rsidRPr="00074D23">
        <w:rPr>
          <w:i/>
        </w:rPr>
        <w:t>PLoS</w:t>
      </w:r>
      <w:r w:rsidR="00074D23">
        <w:t xml:space="preserve"> </w:t>
      </w:r>
      <w:r w:rsidR="009017D6" w:rsidRPr="005A641A">
        <w:rPr>
          <w:i/>
        </w:rPr>
        <w:t>Computational Biology</w:t>
      </w:r>
      <w:r w:rsidR="005A641A">
        <w:t xml:space="preserve">, vol. 5 no. </w:t>
      </w:r>
      <w:r w:rsidR="009017D6" w:rsidRPr="008F1072">
        <w:t>6</w:t>
      </w:r>
      <w:r w:rsidR="00074D23">
        <w:t>, Jun. 2009</w:t>
      </w:r>
      <w:r w:rsidR="009303D9" w:rsidRPr="008F1072">
        <w:t>.</w:t>
      </w:r>
    </w:p>
    <w:p w:rsidR="001C6591" w:rsidRPr="008F1072" w:rsidRDefault="00E048E4" w:rsidP="008F1072">
      <w:pPr>
        <w:pStyle w:val="references"/>
      </w:pPr>
      <w:r>
        <w:t xml:space="preserve">M. Pierce, C. Youn, and G. Fox, “The gateway computational web portal,” </w:t>
      </w:r>
      <w:r w:rsidRPr="00364257">
        <w:rPr>
          <w:i/>
        </w:rPr>
        <w:t>Journal of Concurrency and Computation: Practice and Experience</w:t>
      </w:r>
      <w:r>
        <w:t xml:space="preserve">, vol. 14, </w:t>
      </w:r>
      <w:r w:rsidR="006E2230">
        <w:t xml:space="preserve">no. 13-15, </w:t>
      </w:r>
      <w:r w:rsidR="00364257">
        <w:t xml:space="preserve">pp. 1411-1426, </w:t>
      </w:r>
      <w:r w:rsidR="006E2230">
        <w:t xml:space="preserve"> Nov.-Dec. </w:t>
      </w:r>
      <w:r w:rsidR="00364257">
        <w:t>2002</w:t>
      </w:r>
      <w:r>
        <w:t>.</w:t>
      </w:r>
    </w:p>
    <w:p w:rsidR="00385556" w:rsidRDefault="00385556" w:rsidP="008F1072">
      <w:pPr>
        <w:pStyle w:val="references"/>
      </w:pPr>
      <w:r>
        <w:t xml:space="preserve">T. Smith and M. Waterman, “Identification of common molecular substances,” </w:t>
      </w:r>
      <w:r w:rsidRPr="00383E69">
        <w:rPr>
          <w:i/>
        </w:rPr>
        <w:t>Journal of Molecular Biology</w:t>
      </w:r>
      <w:r w:rsidR="00383E69">
        <w:t>, vol. 147</w:t>
      </w:r>
      <w:r>
        <w:t>,  pp. 195-197</w:t>
      </w:r>
      <w:r w:rsidR="00383E69">
        <w:t>, 1981</w:t>
      </w:r>
      <w:r>
        <w:t>.</w:t>
      </w:r>
    </w:p>
    <w:p w:rsidR="00385556" w:rsidRPr="008E78C1" w:rsidRDefault="00385556" w:rsidP="008F1072">
      <w:pPr>
        <w:pStyle w:val="references"/>
      </w:pPr>
      <w:r>
        <w:t xml:space="preserve">O. Gotoh, “An improved algorithm for matching biological sequences,” </w:t>
      </w:r>
      <w:r w:rsidRPr="005E6B9A">
        <w:rPr>
          <w:i/>
        </w:rPr>
        <w:t>Journal of Molecular Biology</w:t>
      </w:r>
      <w:r>
        <w:t>, vol. 162,  pp. 705-708</w:t>
      </w:r>
      <w:r w:rsidR="005E6B9A">
        <w:t>, 1982</w:t>
      </w:r>
      <w:r>
        <w:t xml:space="preserve">. </w:t>
      </w:r>
    </w:p>
    <w:p w:rsidR="008F1072" w:rsidRPr="008F1072" w:rsidRDefault="008F1072" w:rsidP="008F1072">
      <w:pPr>
        <w:pStyle w:val="references"/>
      </w:pPr>
      <w:r w:rsidRPr="008F1072">
        <w:lastRenderedPageBreak/>
        <w:t>J</w:t>
      </w:r>
      <w:r>
        <w:t xml:space="preserve">. </w:t>
      </w:r>
      <w:r w:rsidRPr="008F1072">
        <w:t>Ekanayake, T</w:t>
      </w:r>
      <w:r>
        <w:t>.</w:t>
      </w:r>
      <w:r w:rsidRPr="008F1072">
        <w:t xml:space="preserve"> Gunarathne, X</w:t>
      </w:r>
      <w:r>
        <w:t>.</w:t>
      </w:r>
      <w:r w:rsidRPr="008F1072">
        <w:t xml:space="preserve"> Qiu, </w:t>
      </w:r>
      <w:r>
        <w:t>“</w:t>
      </w:r>
      <w:r w:rsidRPr="008F1072">
        <w:t>Cloud Technologies for Bioinformatics Applications</w:t>
      </w:r>
      <w:r w:rsidR="00145A8E">
        <w:t>,</w:t>
      </w:r>
      <w:r>
        <w:t>”</w:t>
      </w:r>
      <w:r w:rsidRPr="008F1072">
        <w:t xml:space="preserve"> accepted to the </w:t>
      </w:r>
      <w:r w:rsidRPr="00F913DD">
        <w:rPr>
          <w:i/>
        </w:rPr>
        <w:t>Journal of IEEE Transactions on Parallel and Distributed System</w:t>
      </w:r>
      <w:r w:rsidR="00F913DD">
        <w:rPr>
          <w:i/>
        </w:rPr>
        <w:t>s,</w:t>
      </w:r>
      <w:r w:rsidRPr="008F1072">
        <w:t xml:space="preserve"> Special</w:t>
      </w:r>
      <w:r w:rsidR="00F913DD">
        <w:t xml:space="preserve"> Issues on Many-Task Computing, accepted for publication.</w:t>
      </w:r>
    </w:p>
    <w:p w:rsidR="00EA7837" w:rsidRPr="008F1072" w:rsidRDefault="008F1072" w:rsidP="001C6591">
      <w:pPr>
        <w:pStyle w:val="references"/>
      </w:pPr>
      <w:r w:rsidRPr="008F1072">
        <w:t>J</w:t>
      </w:r>
      <w:r>
        <w:t>.</w:t>
      </w:r>
      <w:r w:rsidRPr="008F1072">
        <w:t xml:space="preserve"> Qiu, </w:t>
      </w:r>
      <w:r>
        <w:t>et al.</w:t>
      </w:r>
      <w:r w:rsidRPr="008F1072">
        <w:t xml:space="preserve">, </w:t>
      </w:r>
      <w:r>
        <w:t>“</w:t>
      </w:r>
      <w:r w:rsidRPr="008F1072">
        <w:t>Data Intensive Computing for Bioinformatics</w:t>
      </w:r>
      <w:r w:rsidR="00145A8E">
        <w:t>,</w:t>
      </w:r>
      <w:r>
        <w:t>”</w:t>
      </w:r>
      <w:r w:rsidRPr="008F1072">
        <w:t xml:space="preserve"> </w:t>
      </w:r>
      <w:r w:rsidR="000F1D6D">
        <w:t xml:space="preserve"> in </w:t>
      </w:r>
      <w:r w:rsidRPr="000F1D6D">
        <w:rPr>
          <w:i/>
        </w:rPr>
        <w:t>Data Intensive Distributed Computing</w:t>
      </w:r>
      <w:r w:rsidR="000F1D6D">
        <w:t xml:space="preserve">.  </w:t>
      </w:r>
      <w:r w:rsidR="00F40FDC">
        <w:t>Hershey, PA:</w:t>
      </w:r>
      <w:r>
        <w:t xml:space="preserve">IGI </w:t>
      </w:r>
      <w:r w:rsidR="000F1D6D">
        <w:t xml:space="preserve"> Global</w:t>
      </w:r>
      <w:r>
        <w:t>:</w:t>
      </w:r>
      <w:r w:rsidRPr="008F1072">
        <w:t xml:space="preserve"> 201</w:t>
      </w:r>
      <w:r w:rsidR="000F1D6D">
        <w:t>1</w:t>
      </w:r>
      <w:r w:rsidRPr="008F1072">
        <w:t>.</w:t>
      </w:r>
    </w:p>
    <w:p w:rsidR="008F1072" w:rsidRPr="008F1072" w:rsidRDefault="008F1072" w:rsidP="001C6591">
      <w:pPr>
        <w:pStyle w:val="references"/>
      </w:pPr>
      <w:r w:rsidRPr="008F1072">
        <w:t>G</w:t>
      </w:r>
      <w:r>
        <w:t xml:space="preserve">. </w:t>
      </w:r>
      <w:r w:rsidRPr="008F1072">
        <w:t xml:space="preserve">Fox, </w:t>
      </w:r>
      <w:r>
        <w:t>et al., “</w:t>
      </w:r>
      <w:r w:rsidRPr="008F1072">
        <w:t>Biomedical Case Studies in Data Intensive Computing</w:t>
      </w:r>
      <w:r w:rsidR="00145A8E">
        <w:t>,</w:t>
      </w:r>
      <w:r>
        <w:t>”</w:t>
      </w:r>
      <w:r w:rsidR="00145A8E">
        <w:t xml:space="preserve"> k</w:t>
      </w:r>
      <w:r w:rsidRPr="008F1072">
        <w:t>eynote talk</w:t>
      </w:r>
      <w:r w:rsidR="004D4BD0" w:rsidRPr="004D4BD0">
        <w:rPr>
          <w:i/>
        </w:rPr>
        <w:t xml:space="preserve">, </w:t>
      </w:r>
      <w:r w:rsidRPr="004D4BD0">
        <w:rPr>
          <w:i/>
        </w:rPr>
        <w:t>1st International Conference on Cloud Computing (CloudCom 2009)</w:t>
      </w:r>
      <w:r w:rsidR="004D4BD0">
        <w:t>,</w:t>
      </w:r>
      <w:r w:rsidRPr="008F1072">
        <w:t xml:space="preserve"> Beijing Jiaotong University, China </w:t>
      </w:r>
      <w:r w:rsidR="00DD706E">
        <w:t xml:space="preserve">Dec. </w:t>
      </w:r>
      <w:r w:rsidRPr="008F1072">
        <w:t>2009</w:t>
      </w:r>
      <w:r w:rsidR="00DD706E">
        <w:t>.</w:t>
      </w:r>
    </w:p>
    <w:p w:rsidR="009303D9" w:rsidRPr="008F1072" w:rsidRDefault="0078068F">
      <w:pPr>
        <w:pStyle w:val="references"/>
      </w:pPr>
      <w:r w:rsidRPr="008F1072">
        <w:t xml:space="preserve">J. Lowy, </w:t>
      </w:r>
      <w:r w:rsidRPr="00410B01">
        <w:rPr>
          <w:i/>
        </w:rPr>
        <w:t>Programming WCF Services</w:t>
      </w:r>
      <w:r w:rsidRPr="008F1072">
        <w:t>, 1st ed.</w:t>
      </w:r>
      <w:r w:rsidR="009303D9" w:rsidRPr="008F1072">
        <w:t xml:space="preserve"> </w:t>
      </w:r>
      <w:r w:rsidRPr="008F1072">
        <w:t>S</w:t>
      </w:r>
      <w:r w:rsidR="00FC7BF3" w:rsidRPr="008F1072">
        <w:t>e</w:t>
      </w:r>
      <w:r w:rsidRPr="008F1072">
        <w:t>bastopol, CA: O’Reilly Media, 2007</w:t>
      </w:r>
      <w:r w:rsidR="009303D9" w:rsidRPr="008F1072">
        <w:t>.</w:t>
      </w:r>
    </w:p>
    <w:p w:rsidR="0019019E" w:rsidRDefault="007D3382" w:rsidP="002B5B4D">
      <w:pPr>
        <w:pStyle w:val="references"/>
        <w:sectPr w:rsidR="0019019E" w:rsidSect="00E77B53">
          <w:type w:val="continuous"/>
          <w:pgSz w:w="12240" w:h="15840" w:code="1"/>
          <w:pgMar w:top="1440" w:right="1080" w:bottom="1440" w:left="1080" w:header="720" w:footer="720" w:gutter="0"/>
          <w:cols w:num="2" w:space="360"/>
          <w:docGrid w:linePitch="360"/>
        </w:sectPr>
      </w:pPr>
      <w:r w:rsidRPr="008F1072">
        <w:t xml:space="preserve">T. Erl, </w:t>
      </w:r>
      <w:r w:rsidRPr="00BE05C5">
        <w:rPr>
          <w:i/>
        </w:rPr>
        <w:t xml:space="preserve">Service-Oriented Architecture (SOA): Concepts, Technology, </w:t>
      </w:r>
      <w:r w:rsidR="00410B01" w:rsidRPr="00BE05C5">
        <w:rPr>
          <w:i/>
        </w:rPr>
        <w:t>and Design</w:t>
      </w:r>
      <w:r w:rsidR="00410B01">
        <w:t xml:space="preserve">, </w:t>
      </w:r>
      <w:r w:rsidRPr="008F1072">
        <w:t>9th ed.  Crawfordsville, IN: R.R. Donnelley, 2009</w:t>
      </w:r>
      <w:r w:rsidR="009303D9" w:rsidRPr="008F1072">
        <w:t>.</w:t>
      </w:r>
    </w:p>
    <w:p w:rsidR="004F053F" w:rsidRPr="005A74AF" w:rsidRDefault="004F053F" w:rsidP="002B5B4D">
      <w:pPr>
        <w:pStyle w:val="figurecaption"/>
        <w:numPr>
          <w:ilvl w:val="0"/>
          <w:numId w:val="0"/>
        </w:numPr>
        <w:jc w:val="both"/>
      </w:pPr>
    </w:p>
    <w:sectPr w:rsidR="004F053F" w:rsidRPr="005A74A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A9" w:rsidRDefault="007F64A9" w:rsidP="00170CB5">
      <w:r>
        <w:separator/>
      </w:r>
    </w:p>
  </w:endnote>
  <w:endnote w:type="continuationSeparator" w:id="0">
    <w:p w:rsidR="007F64A9" w:rsidRDefault="007F64A9" w:rsidP="00170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A9" w:rsidRDefault="007F64A9" w:rsidP="00170CB5">
      <w:r>
        <w:separator/>
      </w:r>
    </w:p>
  </w:footnote>
  <w:footnote w:type="continuationSeparator" w:id="0">
    <w:p w:rsidR="007F64A9" w:rsidRDefault="007F64A9" w:rsidP="00170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FB5A7A"/>
    <w:multiLevelType w:val="multilevel"/>
    <w:tmpl w:val="C6507470"/>
    <w:lvl w:ilvl="0">
      <w:start w:val="1"/>
      <w:numFmt w:val="bullet"/>
      <w:lvlText w:val=""/>
      <w:lvlJc w:val="left"/>
      <w:pPr>
        <w:tabs>
          <w:tab w:val="num" w:pos="576"/>
        </w:tabs>
        <w:ind w:firstLine="216"/>
      </w:pPr>
      <w:rPr>
        <w:rFonts w:ascii="Symbol" w:hAnsi="Symbol"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23774CB9"/>
    <w:multiLevelType w:val="hybridMultilevel"/>
    <w:tmpl w:val="346A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4950"/>
        </w:tabs>
        <w:ind w:left="487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5F5514DF"/>
    <w:multiLevelType w:val="multilevel"/>
    <w:tmpl w:val="72BAD064"/>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64C81309"/>
    <w:multiLevelType w:val="multilevel"/>
    <w:tmpl w:val="F5AE9DAE"/>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7"/>
  </w:num>
  <w:num w:numId="9">
    <w:abstractNumId w:val="11"/>
  </w:num>
  <w:num w:numId="10">
    <w:abstractNumId w:val="5"/>
  </w:num>
  <w:num w:numId="11">
    <w:abstractNumId w:val="0"/>
  </w:num>
  <w:num w:numId="12">
    <w:abstractNumId w:val="9"/>
  </w:num>
  <w:num w:numId="13">
    <w:abstractNumId w:val="8"/>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9303D9"/>
    <w:rsid w:val="00006C41"/>
    <w:rsid w:val="00013202"/>
    <w:rsid w:val="00014262"/>
    <w:rsid w:val="00025F9B"/>
    <w:rsid w:val="000310A9"/>
    <w:rsid w:val="00037477"/>
    <w:rsid w:val="00041F16"/>
    <w:rsid w:val="000500EE"/>
    <w:rsid w:val="00074D23"/>
    <w:rsid w:val="00075DA5"/>
    <w:rsid w:val="0007660D"/>
    <w:rsid w:val="00077BF9"/>
    <w:rsid w:val="00083DE4"/>
    <w:rsid w:val="00085B4B"/>
    <w:rsid w:val="000A01DE"/>
    <w:rsid w:val="000A1786"/>
    <w:rsid w:val="000B3B10"/>
    <w:rsid w:val="000C3974"/>
    <w:rsid w:val="000C614A"/>
    <w:rsid w:val="000D5D70"/>
    <w:rsid w:val="000E0E38"/>
    <w:rsid w:val="000F011A"/>
    <w:rsid w:val="000F1D6D"/>
    <w:rsid w:val="00107796"/>
    <w:rsid w:val="001222A5"/>
    <w:rsid w:val="00126036"/>
    <w:rsid w:val="00141578"/>
    <w:rsid w:val="0014475C"/>
    <w:rsid w:val="00145A8E"/>
    <w:rsid w:val="00147D35"/>
    <w:rsid w:val="0015552F"/>
    <w:rsid w:val="00155E5C"/>
    <w:rsid w:val="00156716"/>
    <w:rsid w:val="00161F65"/>
    <w:rsid w:val="00165B6D"/>
    <w:rsid w:val="00167C24"/>
    <w:rsid w:val="00170CB5"/>
    <w:rsid w:val="0019019E"/>
    <w:rsid w:val="00197C42"/>
    <w:rsid w:val="00197CC1"/>
    <w:rsid w:val="001A352E"/>
    <w:rsid w:val="001A6948"/>
    <w:rsid w:val="001B32DE"/>
    <w:rsid w:val="001C6591"/>
    <w:rsid w:val="001D54B0"/>
    <w:rsid w:val="001D69D2"/>
    <w:rsid w:val="001E249C"/>
    <w:rsid w:val="001E3999"/>
    <w:rsid w:val="001E510C"/>
    <w:rsid w:val="001F3FD0"/>
    <w:rsid w:val="001F649F"/>
    <w:rsid w:val="00215AE5"/>
    <w:rsid w:val="0022468A"/>
    <w:rsid w:val="002254A9"/>
    <w:rsid w:val="002302D8"/>
    <w:rsid w:val="00235874"/>
    <w:rsid w:val="00251BF8"/>
    <w:rsid w:val="0025609E"/>
    <w:rsid w:val="0026029F"/>
    <w:rsid w:val="00265408"/>
    <w:rsid w:val="00265917"/>
    <w:rsid w:val="00284435"/>
    <w:rsid w:val="00296DB7"/>
    <w:rsid w:val="002A5C34"/>
    <w:rsid w:val="002B2BFF"/>
    <w:rsid w:val="002B5B4D"/>
    <w:rsid w:val="002C3157"/>
    <w:rsid w:val="002D0829"/>
    <w:rsid w:val="002D7C57"/>
    <w:rsid w:val="002E070E"/>
    <w:rsid w:val="002E4AB2"/>
    <w:rsid w:val="002E5A7C"/>
    <w:rsid w:val="002F6849"/>
    <w:rsid w:val="003043EF"/>
    <w:rsid w:val="003063CC"/>
    <w:rsid w:val="00311FCD"/>
    <w:rsid w:val="00316D03"/>
    <w:rsid w:val="00326FCE"/>
    <w:rsid w:val="0034542B"/>
    <w:rsid w:val="003454D7"/>
    <w:rsid w:val="00345BF6"/>
    <w:rsid w:val="00347B58"/>
    <w:rsid w:val="00354044"/>
    <w:rsid w:val="00364257"/>
    <w:rsid w:val="00364F28"/>
    <w:rsid w:val="003773D7"/>
    <w:rsid w:val="00383E69"/>
    <w:rsid w:val="00385556"/>
    <w:rsid w:val="003860B7"/>
    <w:rsid w:val="00391A50"/>
    <w:rsid w:val="003B2B2D"/>
    <w:rsid w:val="003B577E"/>
    <w:rsid w:val="003C4665"/>
    <w:rsid w:val="003C5102"/>
    <w:rsid w:val="003D5ECB"/>
    <w:rsid w:val="003E0655"/>
    <w:rsid w:val="003E652F"/>
    <w:rsid w:val="003E7C08"/>
    <w:rsid w:val="003F31D2"/>
    <w:rsid w:val="00403873"/>
    <w:rsid w:val="004043DF"/>
    <w:rsid w:val="00410B01"/>
    <w:rsid w:val="00441A9C"/>
    <w:rsid w:val="00451696"/>
    <w:rsid w:val="00464C17"/>
    <w:rsid w:val="00472C6A"/>
    <w:rsid w:val="00472EC0"/>
    <w:rsid w:val="0047631C"/>
    <w:rsid w:val="00476486"/>
    <w:rsid w:val="0048309B"/>
    <w:rsid w:val="0048615B"/>
    <w:rsid w:val="00490F87"/>
    <w:rsid w:val="004A073C"/>
    <w:rsid w:val="004A08DA"/>
    <w:rsid w:val="004A1374"/>
    <w:rsid w:val="004A6579"/>
    <w:rsid w:val="004A6CC9"/>
    <w:rsid w:val="004A7D09"/>
    <w:rsid w:val="004B1A63"/>
    <w:rsid w:val="004C28F2"/>
    <w:rsid w:val="004D4BD0"/>
    <w:rsid w:val="004D53FF"/>
    <w:rsid w:val="004E6DBA"/>
    <w:rsid w:val="004F053F"/>
    <w:rsid w:val="005059DC"/>
    <w:rsid w:val="00512696"/>
    <w:rsid w:val="005145BC"/>
    <w:rsid w:val="00524FAA"/>
    <w:rsid w:val="00533BA4"/>
    <w:rsid w:val="00535FB7"/>
    <w:rsid w:val="00542630"/>
    <w:rsid w:val="0054281F"/>
    <w:rsid w:val="005446D5"/>
    <w:rsid w:val="00560377"/>
    <w:rsid w:val="00562455"/>
    <w:rsid w:val="00563862"/>
    <w:rsid w:val="00566F7A"/>
    <w:rsid w:val="00570CA2"/>
    <w:rsid w:val="005732EA"/>
    <w:rsid w:val="00587283"/>
    <w:rsid w:val="00595A1E"/>
    <w:rsid w:val="00596CCF"/>
    <w:rsid w:val="00597B2B"/>
    <w:rsid w:val="005A4813"/>
    <w:rsid w:val="005A641A"/>
    <w:rsid w:val="005A74AF"/>
    <w:rsid w:val="005B2815"/>
    <w:rsid w:val="005B520E"/>
    <w:rsid w:val="005B7181"/>
    <w:rsid w:val="005C363C"/>
    <w:rsid w:val="005D2D0F"/>
    <w:rsid w:val="005E02FE"/>
    <w:rsid w:val="005E30CC"/>
    <w:rsid w:val="005E6B9A"/>
    <w:rsid w:val="00606FEF"/>
    <w:rsid w:val="00607063"/>
    <w:rsid w:val="00610EC5"/>
    <w:rsid w:val="0061660B"/>
    <w:rsid w:val="00620743"/>
    <w:rsid w:val="006260F0"/>
    <w:rsid w:val="00636A5A"/>
    <w:rsid w:val="0064080A"/>
    <w:rsid w:val="00643478"/>
    <w:rsid w:val="0065236D"/>
    <w:rsid w:val="006700BD"/>
    <w:rsid w:val="00674A13"/>
    <w:rsid w:val="00682396"/>
    <w:rsid w:val="006876A4"/>
    <w:rsid w:val="00696196"/>
    <w:rsid w:val="006A061E"/>
    <w:rsid w:val="006A0AD2"/>
    <w:rsid w:val="006A7F7A"/>
    <w:rsid w:val="006B5E76"/>
    <w:rsid w:val="006D31F0"/>
    <w:rsid w:val="006D4273"/>
    <w:rsid w:val="006D703C"/>
    <w:rsid w:val="006D7C00"/>
    <w:rsid w:val="006E2230"/>
    <w:rsid w:val="006E2646"/>
    <w:rsid w:val="006F0E27"/>
    <w:rsid w:val="006F4C2D"/>
    <w:rsid w:val="006F589C"/>
    <w:rsid w:val="006F6F08"/>
    <w:rsid w:val="00711CE8"/>
    <w:rsid w:val="00714EE3"/>
    <w:rsid w:val="00715380"/>
    <w:rsid w:val="00720472"/>
    <w:rsid w:val="007251EF"/>
    <w:rsid w:val="00732DC7"/>
    <w:rsid w:val="00735E17"/>
    <w:rsid w:val="00746054"/>
    <w:rsid w:val="0074752D"/>
    <w:rsid w:val="007524F6"/>
    <w:rsid w:val="00754CEA"/>
    <w:rsid w:val="00761E45"/>
    <w:rsid w:val="0077631C"/>
    <w:rsid w:val="0078068F"/>
    <w:rsid w:val="007910D9"/>
    <w:rsid w:val="007B533E"/>
    <w:rsid w:val="007C2FF2"/>
    <w:rsid w:val="007C582A"/>
    <w:rsid w:val="007D3382"/>
    <w:rsid w:val="007D5194"/>
    <w:rsid w:val="007F64A9"/>
    <w:rsid w:val="007F6EDE"/>
    <w:rsid w:val="00812FA0"/>
    <w:rsid w:val="00825A76"/>
    <w:rsid w:val="00831002"/>
    <w:rsid w:val="00832A4E"/>
    <w:rsid w:val="00847CAA"/>
    <w:rsid w:val="00854E7B"/>
    <w:rsid w:val="008806E4"/>
    <w:rsid w:val="008A0098"/>
    <w:rsid w:val="008A3E5C"/>
    <w:rsid w:val="008B018B"/>
    <w:rsid w:val="008B0857"/>
    <w:rsid w:val="008B0FEB"/>
    <w:rsid w:val="008B5AFC"/>
    <w:rsid w:val="008C54F5"/>
    <w:rsid w:val="008E1D5F"/>
    <w:rsid w:val="008E78C1"/>
    <w:rsid w:val="008E792D"/>
    <w:rsid w:val="008F1072"/>
    <w:rsid w:val="008F7AF3"/>
    <w:rsid w:val="009017D6"/>
    <w:rsid w:val="00905DC5"/>
    <w:rsid w:val="00911A01"/>
    <w:rsid w:val="0091539F"/>
    <w:rsid w:val="00917CBC"/>
    <w:rsid w:val="009245BE"/>
    <w:rsid w:val="009268DB"/>
    <w:rsid w:val="009303D9"/>
    <w:rsid w:val="0095110E"/>
    <w:rsid w:val="00956A9F"/>
    <w:rsid w:val="00957E5F"/>
    <w:rsid w:val="009721AC"/>
    <w:rsid w:val="009A1403"/>
    <w:rsid w:val="009A7322"/>
    <w:rsid w:val="009B068B"/>
    <w:rsid w:val="009B14DD"/>
    <w:rsid w:val="009D00B3"/>
    <w:rsid w:val="009D079E"/>
    <w:rsid w:val="009E0CEB"/>
    <w:rsid w:val="009E6BDF"/>
    <w:rsid w:val="009E74FA"/>
    <w:rsid w:val="00A004CB"/>
    <w:rsid w:val="00A04082"/>
    <w:rsid w:val="00A10585"/>
    <w:rsid w:val="00A13F1C"/>
    <w:rsid w:val="00A172DE"/>
    <w:rsid w:val="00A2121B"/>
    <w:rsid w:val="00A23C17"/>
    <w:rsid w:val="00A27B21"/>
    <w:rsid w:val="00A338BA"/>
    <w:rsid w:val="00A412C2"/>
    <w:rsid w:val="00A466B4"/>
    <w:rsid w:val="00A470E6"/>
    <w:rsid w:val="00A53D44"/>
    <w:rsid w:val="00A5579D"/>
    <w:rsid w:val="00A6458F"/>
    <w:rsid w:val="00A67372"/>
    <w:rsid w:val="00A7572C"/>
    <w:rsid w:val="00A8260D"/>
    <w:rsid w:val="00AA4EFF"/>
    <w:rsid w:val="00AB27FF"/>
    <w:rsid w:val="00AB2965"/>
    <w:rsid w:val="00AB697D"/>
    <w:rsid w:val="00AC12AE"/>
    <w:rsid w:val="00AC55C8"/>
    <w:rsid w:val="00AD160D"/>
    <w:rsid w:val="00AE20FD"/>
    <w:rsid w:val="00AE6179"/>
    <w:rsid w:val="00AE75CC"/>
    <w:rsid w:val="00AF24EC"/>
    <w:rsid w:val="00AF4B86"/>
    <w:rsid w:val="00AF6767"/>
    <w:rsid w:val="00B02873"/>
    <w:rsid w:val="00B11A60"/>
    <w:rsid w:val="00B12AE0"/>
    <w:rsid w:val="00B16FED"/>
    <w:rsid w:val="00B1770F"/>
    <w:rsid w:val="00B2044A"/>
    <w:rsid w:val="00B242AF"/>
    <w:rsid w:val="00B3375C"/>
    <w:rsid w:val="00B33DC8"/>
    <w:rsid w:val="00B3598B"/>
    <w:rsid w:val="00B37A23"/>
    <w:rsid w:val="00B45BF2"/>
    <w:rsid w:val="00B46588"/>
    <w:rsid w:val="00B50FB4"/>
    <w:rsid w:val="00B5151C"/>
    <w:rsid w:val="00B66DD0"/>
    <w:rsid w:val="00B85CE5"/>
    <w:rsid w:val="00B8685C"/>
    <w:rsid w:val="00B86F43"/>
    <w:rsid w:val="00B939A7"/>
    <w:rsid w:val="00B969FE"/>
    <w:rsid w:val="00BA2A5E"/>
    <w:rsid w:val="00BC3523"/>
    <w:rsid w:val="00BC4FAF"/>
    <w:rsid w:val="00BC5CB8"/>
    <w:rsid w:val="00BD29FC"/>
    <w:rsid w:val="00BD35F2"/>
    <w:rsid w:val="00BE05C5"/>
    <w:rsid w:val="00BE3D20"/>
    <w:rsid w:val="00BE4137"/>
    <w:rsid w:val="00BF20FB"/>
    <w:rsid w:val="00C05607"/>
    <w:rsid w:val="00C11759"/>
    <w:rsid w:val="00C172F2"/>
    <w:rsid w:val="00C20780"/>
    <w:rsid w:val="00C2581F"/>
    <w:rsid w:val="00C270F7"/>
    <w:rsid w:val="00C370E6"/>
    <w:rsid w:val="00C413CF"/>
    <w:rsid w:val="00C47422"/>
    <w:rsid w:val="00C518EF"/>
    <w:rsid w:val="00C55BD6"/>
    <w:rsid w:val="00C56719"/>
    <w:rsid w:val="00C72E69"/>
    <w:rsid w:val="00C751FF"/>
    <w:rsid w:val="00C76703"/>
    <w:rsid w:val="00C84D86"/>
    <w:rsid w:val="00C976B6"/>
    <w:rsid w:val="00CB40CD"/>
    <w:rsid w:val="00CC0CB4"/>
    <w:rsid w:val="00CD32C0"/>
    <w:rsid w:val="00CD7F1B"/>
    <w:rsid w:val="00CE2AC7"/>
    <w:rsid w:val="00D247CB"/>
    <w:rsid w:val="00D36315"/>
    <w:rsid w:val="00D65FB4"/>
    <w:rsid w:val="00D84E12"/>
    <w:rsid w:val="00D95A4A"/>
    <w:rsid w:val="00DA0FC6"/>
    <w:rsid w:val="00DC542D"/>
    <w:rsid w:val="00DD00F1"/>
    <w:rsid w:val="00DD5C33"/>
    <w:rsid w:val="00DD706E"/>
    <w:rsid w:val="00DE0AD7"/>
    <w:rsid w:val="00DE0E58"/>
    <w:rsid w:val="00DE76F8"/>
    <w:rsid w:val="00DF7631"/>
    <w:rsid w:val="00DF7930"/>
    <w:rsid w:val="00E048E4"/>
    <w:rsid w:val="00E15626"/>
    <w:rsid w:val="00E253F1"/>
    <w:rsid w:val="00E31EC2"/>
    <w:rsid w:val="00E32D2D"/>
    <w:rsid w:val="00E362E6"/>
    <w:rsid w:val="00E37435"/>
    <w:rsid w:val="00E40D9D"/>
    <w:rsid w:val="00E4138B"/>
    <w:rsid w:val="00E448C2"/>
    <w:rsid w:val="00E51AE1"/>
    <w:rsid w:val="00E55DC0"/>
    <w:rsid w:val="00E567DB"/>
    <w:rsid w:val="00E61324"/>
    <w:rsid w:val="00E74572"/>
    <w:rsid w:val="00E77B53"/>
    <w:rsid w:val="00E83787"/>
    <w:rsid w:val="00E91A23"/>
    <w:rsid w:val="00E95037"/>
    <w:rsid w:val="00E9551B"/>
    <w:rsid w:val="00E95DC1"/>
    <w:rsid w:val="00EA7837"/>
    <w:rsid w:val="00EC2DB2"/>
    <w:rsid w:val="00EC5A3B"/>
    <w:rsid w:val="00ED339A"/>
    <w:rsid w:val="00EF5FD3"/>
    <w:rsid w:val="00EF7D53"/>
    <w:rsid w:val="00F00B52"/>
    <w:rsid w:val="00F0281D"/>
    <w:rsid w:val="00F03099"/>
    <w:rsid w:val="00F046AC"/>
    <w:rsid w:val="00F1658A"/>
    <w:rsid w:val="00F21009"/>
    <w:rsid w:val="00F33E6F"/>
    <w:rsid w:val="00F40FDC"/>
    <w:rsid w:val="00F41583"/>
    <w:rsid w:val="00F41D06"/>
    <w:rsid w:val="00F43004"/>
    <w:rsid w:val="00F43310"/>
    <w:rsid w:val="00F46EF3"/>
    <w:rsid w:val="00F554E8"/>
    <w:rsid w:val="00F55516"/>
    <w:rsid w:val="00F55B15"/>
    <w:rsid w:val="00F61800"/>
    <w:rsid w:val="00F641FE"/>
    <w:rsid w:val="00F80A9B"/>
    <w:rsid w:val="00F913DD"/>
    <w:rsid w:val="00FA27DF"/>
    <w:rsid w:val="00FA413F"/>
    <w:rsid w:val="00FB744E"/>
    <w:rsid w:val="00FC10D5"/>
    <w:rsid w:val="00FC1126"/>
    <w:rsid w:val="00FC7BF3"/>
    <w:rsid w:val="00FE5448"/>
    <w:rsid w:val="00FF03D1"/>
    <w:rsid w:val="00FF35B3"/>
    <w:rsid w:val="00FF4DEB"/>
    <w:rsid w:val="00FF63F7"/>
    <w:rsid w:val="00FF6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157"/>
    <w:pPr>
      <w:jc w:val="center"/>
    </w:pPr>
  </w:style>
  <w:style w:type="paragraph" w:styleId="Heading1">
    <w:name w:val="heading 1"/>
    <w:basedOn w:val="Normal"/>
    <w:next w:val="Normal"/>
    <w:link w:val="Heading1Char"/>
    <w:qFormat/>
    <w:rsid w:val="002C3157"/>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2C3157"/>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2C3157"/>
    <w:pPr>
      <w:numPr>
        <w:ilvl w:val="2"/>
        <w:numId w:val="6"/>
      </w:numPr>
      <w:spacing w:line="240" w:lineRule="exact"/>
      <w:jc w:val="both"/>
      <w:outlineLvl w:val="2"/>
    </w:pPr>
    <w:rPr>
      <w:i/>
      <w:iCs/>
      <w:noProof/>
    </w:rPr>
  </w:style>
  <w:style w:type="paragraph" w:styleId="Heading4">
    <w:name w:val="heading 4"/>
    <w:basedOn w:val="Normal"/>
    <w:next w:val="Normal"/>
    <w:qFormat/>
    <w:rsid w:val="002C3157"/>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2C315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2C3157"/>
    <w:pPr>
      <w:spacing w:after="200"/>
      <w:jc w:val="both"/>
    </w:pPr>
    <w:rPr>
      <w:b/>
      <w:bCs/>
      <w:sz w:val="18"/>
      <w:szCs w:val="18"/>
    </w:rPr>
  </w:style>
  <w:style w:type="paragraph" w:customStyle="1" w:styleId="Affiliation">
    <w:name w:val="Affiliation"/>
    <w:rsid w:val="002C3157"/>
    <w:pPr>
      <w:jc w:val="center"/>
    </w:pPr>
  </w:style>
  <w:style w:type="paragraph" w:customStyle="1" w:styleId="Author">
    <w:name w:val="Author"/>
    <w:rsid w:val="002C3157"/>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rsid w:val="002C3157"/>
    <w:pPr>
      <w:numPr>
        <w:numId w:val="1"/>
      </w:numPr>
    </w:pPr>
  </w:style>
  <w:style w:type="paragraph" w:customStyle="1" w:styleId="equation">
    <w:name w:val="equation"/>
    <w:basedOn w:val="Normal"/>
    <w:rsid w:val="002C3157"/>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2C3157"/>
    <w:pPr>
      <w:numPr>
        <w:numId w:val="2"/>
      </w:numPr>
      <w:spacing w:before="80" w:after="200"/>
      <w:jc w:val="center"/>
    </w:pPr>
    <w:rPr>
      <w:noProof/>
      <w:sz w:val="16"/>
      <w:szCs w:val="16"/>
    </w:rPr>
  </w:style>
  <w:style w:type="paragraph" w:customStyle="1" w:styleId="footnote">
    <w:name w:val="footnote"/>
    <w:rsid w:val="002C3157"/>
    <w:pPr>
      <w:framePr w:hSpace="187" w:vSpace="187" w:wrap="notBeside" w:vAnchor="text" w:hAnchor="page" w:x="6121" w:y="577"/>
      <w:numPr>
        <w:numId w:val="3"/>
      </w:numPr>
      <w:spacing w:after="40"/>
    </w:pPr>
    <w:rPr>
      <w:sz w:val="16"/>
      <w:szCs w:val="16"/>
    </w:rPr>
  </w:style>
  <w:style w:type="paragraph" w:customStyle="1" w:styleId="keywords">
    <w:name w:val="key words"/>
    <w:rsid w:val="002C3157"/>
    <w:pPr>
      <w:spacing w:after="120"/>
      <w:ind w:firstLine="288"/>
      <w:jc w:val="both"/>
    </w:pPr>
    <w:rPr>
      <w:b/>
      <w:bCs/>
      <w:i/>
      <w:iCs/>
      <w:noProof/>
      <w:sz w:val="18"/>
      <w:szCs w:val="18"/>
    </w:rPr>
  </w:style>
  <w:style w:type="paragraph" w:customStyle="1" w:styleId="papersubtitle">
    <w:name w:val="paper subtitle"/>
    <w:rsid w:val="002C3157"/>
    <w:pPr>
      <w:spacing w:after="120"/>
      <w:jc w:val="center"/>
    </w:pPr>
    <w:rPr>
      <w:rFonts w:eastAsia="MS Mincho"/>
      <w:noProof/>
      <w:sz w:val="28"/>
      <w:szCs w:val="28"/>
    </w:rPr>
  </w:style>
  <w:style w:type="paragraph" w:customStyle="1" w:styleId="papertitle">
    <w:name w:val="paper title"/>
    <w:rsid w:val="002C3157"/>
    <w:pPr>
      <w:spacing w:after="120"/>
      <w:jc w:val="center"/>
    </w:pPr>
    <w:rPr>
      <w:rFonts w:eastAsia="MS Mincho"/>
      <w:noProof/>
      <w:sz w:val="48"/>
      <w:szCs w:val="48"/>
    </w:rPr>
  </w:style>
  <w:style w:type="paragraph" w:customStyle="1" w:styleId="references">
    <w:name w:val="references"/>
    <w:rsid w:val="002C3157"/>
    <w:pPr>
      <w:numPr>
        <w:numId w:val="8"/>
      </w:numPr>
      <w:spacing w:after="50" w:line="180" w:lineRule="exact"/>
      <w:jc w:val="both"/>
    </w:pPr>
    <w:rPr>
      <w:rFonts w:eastAsia="MS Mincho"/>
      <w:noProof/>
      <w:sz w:val="16"/>
      <w:szCs w:val="16"/>
    </w:rPr>
  </w:style>
  <w:style w:type="paragraph" w:customStyle="1" w:styleId="sponsors">
    <w:name w:val="sponsors"/>
    <w:rsid w:val="002C3157"/>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C3157"/>
    <w:rPr>
      <w:b/>
      <w:bCs/>
      <w:sz w:val="16"/>
      <w:szCs w:val="16"/>
    </w:rPr>
  </w:style>
  <w:style w:type="paragraph" w:customStyle="1" w:styleId="tablecolsubhead">
    <w:name w:val="table col subhead"/>
    <w:basedOn w:val="tablecolhead"/>
    <w:rsid w:val="002C3157"/>
    <w:rPr>
      <w:i/>
      <w:iCs/>
      <w:sz w:val="15"/>
      <w:szCs w:val="15"/>
    </w:rPr>
  </w:style>
  <w:style w:type="paragraph" w:customStyle="1" w:styleId="tablecopy">
    <w:name w:val="table copy"/>
    <w:rsid w:val="002C3157"/>
    <w:pPr>
      <w:jc w:val="both"/>
    </w:pPr>
    <w:rPr>
      <w:noProof/>
      <w:sz w:val="16"/>
      <w:szCs w:val="16"/>
    </w:rPr>
  </w:style>
  <w:style w:type="paragraph" w:customStyle="1" w:styleId="tablefootnote">
    <w:name w:val="table footnote"/>
    <w:rsid w:val="002C3157"/>
    <w:pPr>
      <w:spacing w:before="60" w:after="30"/>
      <w:jc w:val="right"/>
    </w:pPr>
    <w:rPr>
      <w:sz w:val="12"/>
      <w:szCs w:val="12"/>
    </w:rPr>
  </w:style>
  <w:style w:type="paragraph" w:customStyle="1" w:styleId="tablehead">
    <w:name w:val="table head"/>
    <w:rsid w:val="002C3157"/>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014262"/>
    <w:rPr>
      <w:rFonts w:ascii="Tahoma" w:hAnsi="Tahoma" w:cs="Tahoma"/>
      <w:sz w:val="16"/>
      <w:szCs w:val="16"/>
    </w:rPr>
  </w:style>
  <w:style w:type="character" w:customStyle="1" w:styleId="BalloonTextChar">
    <w:name w:val="Balloon Text Char"/>
    <w:basedOn w:val="DefaultParagraphFont"/>
    <w:link w:val="BalloonText"/>
    <w:rsid w:val="00014262"/>
    <w:rPr>
      <w:rFonts w:ascii="Tahoma" w:hAnsi="Tahoma" w:cs="Tahoma"/>
      <w:sz w:val="16"/>
      <w:szCs w:val="16"/>
    </w:rPr>
  </w:style>
  <w:style w:type="paragraph" w:styleId="Caption">
    <w:name w:val="caption"/>
    <w:basedOn w:val="Normal"/>
    <w:next w:val="Normal"/>
    <w:unhideWhenUsed/>
    <w:qFormat/>
    <w:rsid w:val="00041F16"/>
    <w:pPr>
      <w:spacing w:after="200"/>
    </w:pPr>
    <w:rPr>
      <w:b/>
      <w:bCs/>
      <w:color w:val="4F81BD" w:themeColor="accent1"/>
      <w:sz w:val="18"/>
      <w:szCs w:val="18"/>
    </w:rPr>
  </w:style>
  <w:style w:type="character" w:customStyle="1" w:styleId="BodyTextChar">
    <w:name w:val="Body Text Char"/>
    <w:basedOn w:val="DefaultParagraphFont"/>
    <w:link w:val="BodyText"/>
    <w:rsid w:val="00A470E6"/>
    <w:rPr>
      <w:spacing w:val="-1"/>
    </w:rPr>
  </w:style>
  <w:style w:type="character" w:customStyle="1" w:styleId="apple-style-span">
    <w:name w:val="apple-style-span"/>
    <w:basedOn w:val="DefaultParagraphFont"/>
    <w:rsid w:val="00A470E6"/>
  </w:style>
  <w:style w:type="paragraph" w:styleId="Header">
    <w:name w:val="header"/>
    <w:basedOn w:val="Normal"/>
    <w:link w:val="HeaderChar"/>
    <w:rsid w:val="00170CB5"/>
    <w:pPr>
      <w:tabs>
        <w:tab w:val="center" w:pos="4680"/>
        <w:tab w:val="right" w:pos="9360"/>
      </w:tabs>
    </w:pPr>
  </w:style>
  <w:style w:type="character" w:customStyle="1" w:styleId="HeaderChar">
    <w:name w:val="Header Char"/>
    <w:basedOn w:val="DefaultParagraphFont"/>
    <w:link w:val="Header"/>
    <w:rsid w:val="00170CB5"/>
  </w:style>
  <w:style w:type="paragraph" w:styleId="Footer">
    <w:name w:val="footer"/>
    <w:basedOn w:val="Normal"/>
    <w:link w:val="FooterChar"/>
    <w:rsid w:val="00170CB5"/>
    <w:pPr>
      <w:tabs>
        <w:tab w:val="center" w:pos="4680"/>
        <w:tab w:val="right" w:pos="9360"/>
      </w:tabs>
    </w:pPr>
  </w:style>
  <w:style w:type="character" w:customStyle="1" w:styleId="FooterChar">
    <w:name w:val="Footer Char"/>
    <w:basedOn w:val="DefaultParagraphFont"/>
    <w:link w:val="Footer"/>
    <w:rsid w:val="00170CB5"/>
  </w:style>
  <w:style w:type="paragraph" w:styleId="ListParagraph">
    <w:name w:val="List Paragraph"/>
    <w:basedOn w:val="Normal"/>
    <w:uiPriority w:val="34"/>
    <w:qFormat/>
    <w:rsid w:val="00F1658A"/>
    <w:pPr>
      <w:ind w:left="720"/>
      <w:contextualSpacing/>
    </w:pPr>
  </w:style>
  <w:style w:type="character" w:customStyle="1" w:styleId="Heading1Char">
    <w:name w:val="Heading 1 Char"/>
    <w:basedOn w:val="DefaultParagraphFont"/>
    <w:link w:val="Heading1"/>
    <w:rsid w:val="00E253F1"/>
    <w:rPr>
      <w:smallCaps/>
      <w:noProof/>
    </w:rPr>
  </w:style>
  <w:style w:type="character" w:styleId="Hyperlink">
    <w:name w:val="Hyperlink"/>
    <w:basedOn w:val="DefaultParagraphFont"/>
    <w:uiPriority w:val="99"/>
    <w:unhideWhenUsed/>
    <w:rsid w:val="008F1072"/>
    <w:rPr>
      <w:color w:val="0000FF"/>
      <w:u w:val="single"/>
    </w:rPr>
  </w:style>
  <w:style w:type="paragraph" w:customStyle="1" w:styleId="Default">
    <w:name w:val="Default"/>
    <w:rsid w:val="0038555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081">
      <w:bodyDiv w:val="1"/>
      <w:marLeft w:val="0"/>
      <w:marRight w:val="0"/>
      <w:marTop w:val="0"/>
      <w:marBottom w:val="0"/>
      <w:divBdr>
        <w:top w:val="none" w:sz="0" w:space="0" w:color="auto"/>
        <w:left w:val="none" w:sz="0" w:space="0" w:color="auto"/>
        <w:bottom w:val="none" w:sz="0" w:space="0" w:color="auto"/>
        <w:right w:val="none" w:sz="0" w:space="0" w:color="auto"/>
      </w:divBdr>
      <w:divsChild>
        <w:div w:id="214394570">
          <w:marLeft w:val="0"/>
          <w:marRight w:val="0"/>
          <w:marTop w:val="0"/>
          <w:marBottom w:val="0"/>
          <w:divBdr>
            <w:top w:val="none" w:sz="0" w:space="0" w:color="auto"/>
            <w:left w:val="none" w:sz="0" w:space="0" w:color="auto"/>
            <w:bottom w:val="none" w:sz="0" w:space="0" w:color="auto"/>
            <w:right w:val="none" w:sz="0" w:space="0" w:color="auto"/>
          </w:divBdr>
        </w:div>
      </w:divsChild>
    </w:div>
    <w:div w:id="185487572">
      <w:bodyDiv w:val="1"/>
      <w:marLeft w:val="0"/>
      <w:marRight w:val="0"/>
      <w:marTop w:val="0"/>
      <w:marBottom w:val="0"/>
      <w:divBdr>
        <w:top w:val="none" w:sz="0" w:space="0" w:color="auto"/>
        <w:left w:val="none" w:sz="0" w:space="0" w:color="auto"/>
        <w:bottom w:val="none" w:sz="0" w:space="0" w:color="auto"/>
        <w:right w:val="none" w:sz="0" w:space="0" w:color="auto"/>
      </w:divBdr>
      <w:divsChild>
        <w:div w:id="976029126">
          <w:marLeft w:val="0"/>
          <w:marRight w:val="0"/>
          <w:marTop w:val="0"/>
          <w:marBottom w:val="0"/>
          <w:divBdr>
            <w:top w:val="none" w:sz="0" w:space="0" w:color="auto"/>
            <w:left w:val="none" w:sz="0" w:space="0" w:color="auto"/>
            <w:bottom w:val="none" w:sz="0" w:space="0" w:color="auto"/>
            <w:right w:val="none" w:sz="0" w:space="0" w:color="auto"/>
          </w:divBdr>
        </w:div>
      </w:divsChild>
    </w:div>
    <w:div w:id="204417567">
      <w:bodyDiv w:val="1"/>
      <w:marLeft w:val="0"/>
      <w:marRight w:val="0"/>
      <w:marTop w:val="0"/>
      <w:marBottom w:val="0"/>
      <w:divBdr>
        <w:top w:val="none" w:sz="0" w:space="0" w:color="auto"/>
        <w:left w:val="none" w:sz="0" w:space="0" w:color="auto"/>
        <w:bottom w:val="none" w:sz="0" w:space="0" w:color="auto"/>
        <w:right w:val="none" w:sz="0" w:space="0" w:color="auto"/>
      </w:divBdr>
      <w:divsChild>
        <w:div w:id="1069498843">
          <w:marLeft w:val="0"/>
          <w:marRight w:val="0"/>
          <w:marTop w:val="0"/>
          <w:marBottom w:val="0"/>
          <w:divBdr>
            <w:top w:val="none" w:sz="0" w:space="0" w:color="auto"/>
            <w:left w:val="none" w:sz="0" w:space="0" w:color="auto"/>
            <w:bottom w:val="none" w:sz="0" w:space="0" w:color="auto"/>
            <w:right w:val="none" w:sz="0" w:space="0" w:color="auto"/>
          </w:divBdr>
        </w:div>
      </w:divsChild>
    </w:div>
    <w:div w:id="293292868">
      <w:bodyDiv w:val="1"/>
      <w:marLeft w:val="0"/>
      <w:marRight w:val="0"/>
      <w:marTop w:val="0"/>
      <w:marBottom w:val="0"/>
      <w:divBdr>
        <w:top w:val="none" w:sz="0" w:space="0" w:color="auto"/>
        <w:left w:val="none" w:sz="0" w:space="0" w:color="auto"/>
        <w:bottom w:val="none" w:sz="0" w:space="0" w:color="auto"/>
        <w:right w:val="none" w:sz="0" w:space="0" w:color="auto"/>
      </w:divBdr>
      <w:divsChild>
        <w:div w:id="190341694">
          <w:marLeft w:val="0"/>
          <w:marRight w:val="0"/>
          <w:marTop w:val="0"/>
          <w:marBottom w:val="0"/>
          <w:divBdr>
            <w:top w:val="none" w:sz="0" w:space="0" w:color="auto"/>
            <w:left w:val="none" w:sz="0" w:space="0" w:color="auto"/>
            <w:bottom w:val="none" w:sz="0" w:space="0" w:color="auto"/>
            <w:right w:val="none" w:sz="0" w:space="0" w:color="auto"/>
          </w:divBdr>
        </w:div>
      </w:divsChild>
    </w:div>
    <w:div w:id="346059144">
      <w:bodyDiv w:val="1"/>
      <w:marLeft w:val="0"/>
      <w:marRight w:val="0"/>
      <w:marTop w:val="0"/>
      <w:marBottom w:val="0"/>
      <w:divBdr>
        <w:top w:val="none" w:sz="0" w:space="0" w:color="auto"/>
        <w:left w:val="none" w:sz="0" w:space="0" w:color="auto"/>
        <w:bottom w:val="none" w:sz="0" w:space="0" w:color="auto"/>
        <w:right w:val="none" w:sz="0" w:space="0" w:color="auto"/>
      </w:divBdr>
      <w:divsChild>
        <w:div w:id="2081096818">
          <w:marLeft w:val="0"/>
          <w:marRight w:val="0"/>
          <w:marTop w:val="0"/>
          <w:marBottom w:val="0"/>
          <w:divBdr>
            <w:top w:val="none" w:sz="0" w:space="0" w:color="auto"/>
            <w:left w:val="none" w:sz="0" w:space="0" w:color="auto"/>
            <w:bottom w:val="none" w:sz="0" w:space="0" w:color="auto"/>
            <w:right w:val="none" w:sz="0" w:space="0" w:color="auto"/>
          </w:divBdr>
        </w:div>
      </w:divsChild>
    </w:div>
    <w:div w:id="362558875">
      <w:bodyDiv w:val="1"/>
      <w:marLeft w:val="0"/>
      <w:marRight w:val="0"/>
      <w:marTop w:val="0"/>
      <w:marBottom w:val="0"/>
      <w:divBdr>
        <w:top w:val="none" w:sz="0" w:space="0" w:color="auto"/>
        <w:left w:val="none" w:sz="0" w:space="0" w:color="auto"/>
        <w:bottom w:val="none" w:sz="0" w:space="0" w:color="auto"/>
        <w:right w:val="none" w:sz="0" w:space="0" w:color="auto"/>
      </w:divBdr>
      <w:divsChild>
        <w:div w:id="621152080">
          <w:marLeft w:val="0"/>
          <w:marRight w:val="0"/>
          <w:marTop w:val="0"/>
          <w:marBottom w:val="0"/>
          <w:divBdr>
            <w:top w:val="none" w:sz="0" w:space="0" w:color="auto"/>
            <w:left w:val="none" w:sz="0" w:space="0" w:color="auto"/>
            <w:bottom w:val="none" w:sz="0" w:space="0" w:color="auto"/>
            <w:right w:val="none" w:sz="0" w:space="0" w:color="auto"/>
          </w:divBdr>
        </w:div>
      </w:divsChild>
    </w:div>
    <w:div w:id="484593219">
      <w:bodyDiv w:val="1"/>
      <w:marLeft w:val="0"/>
      <w:marRight w:val="0"/>
      <w:marTop w:val="0"/>
      <w:marBottom w:val="0"/>
      <w:divBdr>
        <w:top w:val="none" w:sz="0" w:space="0" w:color="auto"/>
        <w:left w:val="none" w:sz="0" w:space="0" w:color="auto"/>
        <w:bottom w:val="none" w:sz="0" w:space="0" w:color="auto"/>
        <w:right w:val="none" w:sz="0" w:space="0" w:color="auto"/>
      </w:divBdr>
      <w:divsChild>
        <w:div w:id="1130395770">
          <w:marLeft w:val="0"/>
          <w:marRight w:val="0"/>
          <w:marTop w:val="0"/>
          <w:marBottom w:val="0"/>
          <w:divBdr>
            <w:top w:val="none" w:sz="0" w:space="0" w:color="auto"/>
            <w:left w:val="none" w:sz="0" w:space="0" w:color="auto"/>
            <w:bottom w:val="none" w:sz="0" w:space="0" w:color="auto"/>
            <w:right w:val="none" w:sz="0" w:space="0" w:color="auto"/>
          </w:divBdr>
        </w:div>
      </w:divsChild>
    </w:div>
    <w:div w:id="497160869">
      <w:bodyDiv w:val="1"/>
      <w:marLeft w:val="0"/>
      <w:marRight w:val="0"/>
      <w:marTop w:val="0"/>
      <w:marBottom w:val="0"/>
      <w:divBdr>
        <w:top w:val="none" w:sz="0" w:space="0" w:color="auto"/>
        <w:left w:val="none" w:sz="0" w:space="0" w:color="auto"/>
        <w:bottom w:val="none" w:sz="0" w:space="0" w:color="auto"/>
        <w:right w:val="none" w:sz="0" w:space="0" w:color="auto"/>
      </w:divBdr>
      <w:divsChild>
        <w:div w:id="850335049">
          <w:marLeft w:val="0"/>
          <w:marRight w:val="0"/>
          <w:marTop w:val="0"/>
          <w:marBottom w:val="0"/>
          <w:divBdr>
            <w:top w:val="none" w:sz="0" w:space="0" w:color="auto"/>
            <w:left w:val="none" w:sz="0" w:space="0" w:color="auto"/>
            <w:bottom w:val="none" w:sz="0" w:space="0" w:color="auto"/>
            <w:right w:val="none" w:sz="0" w:space="0" w:color="auto"/>
          </w:divBdr>
        </w:div>
      </w:divsChild>
    </w:div>
    <w:div w:id="618876904">
      <w:bodyDiv w:val="1"/>
      <w:marLeft w:val="0"/>
      <w:marRight w:val="0"/>
      <w:marTop w:val="0"/>
      <w:marBottom w:val="0"/>
      <w:divBdr>
        <w:top w:val="none" w:sz="0" w:space="0" w:color="auto"/>
        <w:left w:val="none" w:sz="0" w:space="0" w:color="auto"/>
        <w:bottom w:val="none" w:sz="0" w:space="0" w:color="auto"/>
        <w:right w:val="none" w:sz="0" w:space="0" w:color="auto"/>
      </w:divBdr>
      <w:divsChild>
        <w:div w:id="1437794802">
          <w:marLeft w:val="0"/>
          <w:marRight w:val="0"/>
          <w:marTop w:val="0"/>
          <w:marBottom w:val="0"/>
          <w:divBdr>
            <w:top w:val="none" w:sz="0" w:space="0" w:color="auto"/>
            <w:left w:val="none" w:sz="0" w:space="0" w:color="auto"/>
            <w:bottom w:val="none" w:sz="0" w:space="0" w:color="auto"/>
            <w:right w:val="none" w:sz="0" w:space="0" w:color="auto"/>
          </w:divBdr>
        </w:div>
      </w:divsChild>
    </w:div>
    <w:div w:id="1022708855">
      <w:bodyDiv w:val="1"/>
      <w:marLeft w:val="0"/>
      <w:marRight w:val="0"/>
      <w:marTop w:val="0"/>
      <w:marBottom w:val="0"/>
      <w:divBdr>
        <w:top w:val="none" w:sz="0" w:space="0" w:color="auto"/>
        <w:left w:val="none" w:sz="0" w:space="0" w:color="auto"/>
        <w:bottom w:val="none" w:sz="0" w:space="0" w:color="auto"/>
        <w:right w:val="none" w:sz="0" w:space="0" w:color="auto"/>
      </w:divBdr>
      <w:divsChild>
        <w:div w:id="1251811982">
          <w:marLeft w:val="0"/>
          <w:marRight w:val="0"/>
          <w:marTop w:val="0"/>
          <w:marBottom w:val="0"/>
          <w:divBdr>
            <w:top w:val="none" w:sz="0" w:space="0" w:color="auto"/>
            <w:left w:val="none" w:sz="0" w:space="0" w:color="auto"/>
            <w:bottom w:val="none" w:sz="0" w:space="0" w:color="auto"/>
            <w:right w:val="none" w:sz="0" w:space="0" w:color="auto"/>
          </w:divBdr>
        </w:div>
      </w:divsChild>
    </w:div>
    <w:div w:id="1084106912">
      <w:bodyDiv w:val="1"/>
      <w:marLeft w:val="0"/>
      <w:marRight w:val="0"/>
      <w:marTop w:val="0"/>
      <w:marBottom w:val="0"/>
      <w:divBdr>
        <w:top w:val="none" w:sz="0" w:space="0" w:color="auto"/>
        <w:left w:val="none" w:sz="0" w:space="0" w:color="auto"/>
        <w:bottom w:val="none" w:sz="0" w:space="0" w:color="auto"/>
        <w:right w:val="none" w:sz="0" w:space="0" w:color="auto"/>
      </w:divBdr>
      <w:divsChild>
        <w:div w:id="726103293">
          <w:marLeft w:val="0"/>
          <w:marRight w:val="0"/>
          <w:marTop w:val="0"/>
          <w:marBottom w:val="0"/>
          <w:divBdr>
            <w:top w:val="none" w:sz="0" w:space="0" w:color="auto"/>
            <w:left w:val="none" w:sz="0" w:space="0" w:color="auto"/>
            <w:bottom w:val="none" w:sz="0" w:space="0" w:color="auto"/>
            <w:right w:val="none" w:sz="0" w:space="0" w:color="auto"/>
          </w:divBdr>
        </w:div>
      </w:divsChild>
    </w:div>
    <w:div w:id="1304433059">
      <w:bodyDiv w:val="1"/>
      <w:marLeft w:val="0"/>
      <w:marRight w:val="0"/>
      <w:marTop w:val="0"/>
      <w:marBottom w:val="0"/>
      <w:divBdr>
        <w:top w:val="none" w:sz="0" w:space="0" w:color="auto"/>
        <w:left w:val="none" w:sz="0" w:space="0" w:color="auto"/>
        <w:bottom w:val="none" w:sz="0" w:space="0" w:color="auto"/>
        <w:right w:val="none" w:sz="0" w:space="0" w:color="auto"/>
      </w:divBdr>
      <w:divsChild>
        <w:div w:id="919018577">
          <w:marLeft w:val="0"/>
          <w:marRight w:val="0"/>
          <w:marTop w:val="0"/>
          <w:marBottom w:val="0"/>
          <w:divBdr>
            <w:top w:val="none" w:sz="0" w:space="0" w:color="auto"/>
            <w:left w:val="none" w:sz="0" w:space="0" w:color="auto"/>
            <w:bottom w:val="none" w:sz="0" w:space="0" w:color="auto"/>
            <w:right w:val="none" w:sz="0" w:space="0" w:color="auto"/>
          </w:divBdr>
        </w:div>
      </w:divsChild>
    </w:div>
    <w:div w:id="1394038013">
      <w:bodyDiv w:val="1"/>
      <w:marLeft w:val="0"/>
      <w:marRight w:val="0"/>
      <w:marTop w:val="0"/>
      <w:marBottom w:val="0"/>
      <w:divBdr>
        <w:top w:val="none" w:sz="0" w:space="0" w:color="auto"/>
        <w:left w:val="none" w:sz="0" w:space="0" w:color="auto"/>
        <w:bottom w:val="none" w:sz="0" w:space="0" w:color="auto"/>
        <w:right w:val="none" w:sz="0" w:space="0" w:color="auto"/>
      </w:divBdr>
      <w:divsChild>
        <w:div w:id="46807613">
          <w:marLeft w:val="0"/>
          <w:marRight w:val="0"/>
          <w:marTop w:val="0"/>
          <w:marBottom w:val="0"/>
          <w:divBdr>
            <w:top w:val="none" w:sz="0" w:space="0" w:color="auto"/>
            <w:left w:val="none" w:sz="0" w:space="0" w:color="auto"/>
            <w:bottom w:val="none" w:sz="0" w:space="0" w:color="auto"/>
            <w:right w:val="none" w:sz="0" w:space="0" w:color="auto"/>
          </w:divBdr>
        </w:div>
      </w:divsChild>
    </w:div>
    <w:div w:id="1556694053">
      <w:bodyDiv w:val="1"/>
      <w:marLeft w:val="0"/>
      <w:marRight w:val="0"/>
      <w:marTop w:val="0"/>
      <w:marBottom w:val="0"/>
      <w:divBdr>
        <w:top w:val="none" w:sz="0" w:space="0" w:color="auto"/>
        <w:left w:val="none" w:sz="0" w:space="0" w:color="auto"/>
        <w:bottom w:val="none" w:sz="0" w:space="0" w:color="auto"/>
        <w:right w:val="none" w:sz="0" w:space="0" w:color="auto"/>
      </w:divBdr>
      <w:divsChild>
        <w:div w:id="43021069">
          <w:marLeft w:val="0"/>
          <w:marRight w:val="0"/>
          <w:marTop w:val="0"/>
          <w:marBottom w:val="0"/>
          <w:divBdr>
            <w:top w:val="none" w:sz="0" w:space="0" w:color="auto"/>
            <w:left w:val="none" w:sz="0" w:space="0" w:color="auto"/>
            <w:bottom w:val="none" w:sz="0" w:space="0" w:color="auto"/>
            <w:right w:val="none" w:sz="0" w:space="0" w:color="auto"/>
          </w:divBdr>
        </w:div>
      </w:divsChild>
    </w:div>
    <w:div w:id="1629314829">
      <w:bodyDiv w:val="1"/>
      <w:marLeft w:val="0"/>
      <w:marRight w:val="0"/>
      <w:marTop w:val="0"/>
      <w:marBottom w:val="0"/>
      <w:divBdr>
        <w:top w:val="none" w:sz="0" w:space="0" w:color="auto"/>
        <w:left w:val="none" w:sz="0" w:space="0" w:color="auto"/>
        <w:bottom w:val="none" w:sz="0" w:space="0" w:color="auto"/>
        <w:right w:val="none" w:sz="0" w:space="0" w:color="auto"/>
      </w:divBdr>
      <w:divsChild>
        <w:div w:id="2032606279">
          <w:marLeft w:val="0"/>
          <w:marRight w:val="0"/>
          <w:marTop w:val="0"/>
          <w:marBottom w:val="0"/>
          <w:divBdr>
            <w:top w:val="none" w:sz="0" w:space="0" w:color="auto"/>
            <w:left w:val="none" w:sz="0" w:space="0" w:color="auto"/>
            <w:bottom w:val="none" w:sz="0" w:space="0" w:color="auto"/>
            <w:right w:val="none" w:sz="0" w:space="0" w:color="auto"/>
          </w:divBdr>
        </w:div>
      </w:divsChild>
    </w:div>
    <w:div w:id="1753508189">
      <w:bodyDiv w:val="1"/>
      <w:marLeft w:val="0"/>
      <w:marRight w:val="0"/>
      <w:marTop w:val="0"/>
      <w:marBottom w:val="0"/>
      <w:divBdr>
        <w:top w:val="none" w:sz="0" w:space="0" w:color="auto"/>
        <w:left w:val="none" w:sz="0" w:space="0" w:color="auto"/>
        <w:bottom w:val="none" w:sz="0" w:space="0" w:color="auto"/>
        <w:right w:val="none" w:sz="0" w:space="0" w:color="auto"/>
      </w:divBdr>
      <w:divsChild>
        <w:div w:id="2094158439">
          <w:marLeft w:val="0"/>
          <w:marRight w:val="0"/>
          <w:marTop w:val="0"/>
          <w:marBottom w:val="0"/>
          <w:divBdr>
            <w:top w:val="none" w:sz="0" w:space="0" w:color="auto"/>
            <w:left w:val="none" w:sz="0" w:space="0" w:color="auto"/>
            <w:bottom w:val="none" w:sz="0" w:space="0" w:color="auto"/>
            <w:right w:val="none" w:sz="0" w:space="0" w:color="auto"/>
          </w:divBdr>
        </w:div>
      </w:divsChild>
    </w:div>
    <w:div w:id="1891721457">
      <w:bodyDiv w:val="1"/>
      <w:marLeft w:val="0"/>
      <w:marRight w:val="0"/>
      <w:marTop w:val="0"/>
      <w:marBottom w:val="0"/>
      <w:divBdr>
        <w:top w:val="none" w:sz="0" w:space="0" w:color="auto"/>
        <w:left w:val="none" w:sz="0" w:space="0" w:color="auto"/>
        <w:bottom w:val="none" w:sz="0" w:space="0" w:color="auto"/>
        <w:right w:val="none" w:sz="0" w:space="0" w:color="auto"/>
      </w:divBdr>
      <w:divsChild>
        <w:div w:id="1713116117">
          <w:marLeft w:val="0"/>
          <w:marRight w:val="0"/>
          <w:marTop w:val="0"/>
          <w:marBottom w:val="0"/>
          <w:divBdr>
            <w:top w:val="none" w:sz="0" w:space="0" w:color="auto"/>
            <w:left w:val="none" w:sz="0" w:space="0" w:color="auto"/>
            <w:bottom w:val="none" w:sz="0" w:space="0" w:color="auto"/>
            <w:right w:val="none" w:sz="0" w:space="0" w:color="auto"/>
          </w:divBdr>
        </w:div>
      </w:divsChild>
    </w:div>
    <w:div w:id="1911424264">
      <w:bodyDiv w:val="1"/>
      <w:marLeft w:val="0"/>
      <w:marRight w:val="0"/>
      <w:marTop w:val="0"/>
      <w:marBottom w:val="0"/>
      <w:divBdr>
        <w:top w:val="none" w:sz="0" w:space="0" w:color="auto"/>
        <w:left w:val="none" w:sz="0" w:space="0" w:color="auto"/>
        <w:bottom w:val="none" w:sz="0" w:space="0" w:color="auto"/>
        <w:right w:val="none" w:sz="0" w:space="0" w:color="auto"/>
      </w:divBdr>
      <w:divsChild>
        <w:div w:id="1580215772">
          <w:marLeft w:val="0"/>
          <w:marRight w:val="0"/>
          <w:marTop w:val="0"/>
          <w:marBottom w:val="0"/>
          <w:divBdr>
            <w:top w:val="none" w:sz="0" w:space="0" w:color="auto"/>
            <w:left w:val="none" w:sz="0" w:space="0" w:color="auto"/>
            <w:bottom w:val="none" w:sz="0" w:space="0" w:color="auto"/>
            <w:right w:val="none" w:sz="0" w:space="0" w:color="auto"/>
          </w:divBdr>
        </w:div>
      </w:divsChild>
    </w:div>
    <w:div w:id="1944217775">
      <w:bodyDiv w:val="1"/>
      <w:marLeft w:val="0"/>
      <w:marRight w:val="0"/>
      <w:marTop w:val="0"/>
      <w:marBottom w:val="0"/>
      <w:divBdr>
        <w:top w:val="none" w:sz="0" w:space="0" w:color="auto"/>
        <w:left w:val="none" w:sz="0" w:space="0" w:color="auto"/>
        <w:bottom w:val="none" w:sz="0" w:space="0" w:color="auto"/>
        <w:right w:val="none" w:sz="0" w:space="0" w:color="auto"/>
      </w:divBdr>
      <w:divsChild>
        <w:div w:id="1492411072">
          <w:marLeft w:val="0"/>
          <w:marRight w:val="0"/>
          <w:marTop w:val="0"/>
          <w:marBottom w:val="0"/>
          <w:divBdr>
            <w:top w:val="none" w:sz="0" w:space="0" w:color="auto"/>
            <w:left w:val="none" w:sz="0" w:space="0" w:color="auto"/>
            <w:bottom w:val="none" w:sz="0" w:space="0" w:color="auto"/>
            <w:right w:val="none" w:sz="0" w:space="0" w:color="auto"/>
          </w:divBdr>
        </w:div>
      </w:divsChild>
    </w:div>
    <w:div w:id="19945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7CEAAA8073E40A2B150F0401724CF" ma:contentTypeVersion="0" ma:contentTypeDescription="Create a new document." ma:contentTypeScope="" ma:versionID="cada2d4198c493085e8bdf947bbc98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0572-4284-492C-BE3D-F43B75C5B357}">
  <ds:schemaRefs>
    <ds:schemaRef ds:uri="http://schemas.microsoft.com/office/2006/metadata/properties"/>
  </ds:schemaRefs>
</ds:datastoreItem>
</file>

<file path=customXml/itemProps2.xml><?xml version="1.0" encoding="utf-8"?>
<ds:datastoreItem xmlns:ds="http://schemas.openxmlformats.org/officeDocument/2006/customXml" ds:itemID="{75C345FC-A8B8-4E5E-B4B1-6512F4939742}">
  <ds:schemaRefs>
    <ds:schemaRef ds:uri="http://schemas.microsoft.com/sharepoint/v3/contenttype/forms"/>
  </ds:schemaRefs>
</ds:datastoreItem>
</file>

<file path=customXml/itemProps3.xml><?xml version="1.0" encoding="utf-8"?>
<ds:datastoreItem xmlns:ds="http://schemas.openxmlformats.org/officeDocument/2006/customXml" ds:itemID="{B755FF79-6C92-4CD7-97D3-CA2BF6B3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CC1927-83E1-46BD-91E3-C2CB3478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Hughes, Adam Lee</cp:lastModifiedBy>
  <cp:revision>38</cp:revision>
  <cp:lastPrinted>2010-09-03T14:05:00Z</cp:lastPrinted>
  <dcterms:created xsi:type="dcterms:W3CDTF">2010-09-13T21:16:00Z</dcterms:created>
  <dcterms:modified xsi:type="dcterms:W3CDTF">2010-09-13T21:51:00Z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0x0101004027CEAAA8073E40A2B150F0401724CF</vt:lpwstr>
  </property>
</Properties>
</file>